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E395" w14:textId="77777777" w:rsidR="006D300B" w:rsidRPr="006D300B" w:rsidRDefault="006D300B" w:rsidP="006D300B">
      <w:pPr>
        <w:pStyle w:val="ListParagraph"/>
        <w:keepNext/>
        <w:keepLines/>
        <w:numPr>
          <w:ilvl w:val="0"/>
          <w:numId w:val="1"/>
        </w:numPr>
        <w:spacing w:before="120" w:after="120" w:line="300" w:lineRule="auto"/>
        <w:contextualSpacing w:val="0"/>
        <w:outlineLvl w:val="2"/>
        <w:rPr>
          <w:rFonts w:eastAsiaTheme="majorEastAsia" w:cs="Arial"/>
          <w:vanish/>
          <w:sz w:val="28"/>
          <w:szCs w:val="24"/>
        </w:rPr>
      </w:pPr>
      <w:bookmarkStart w:id="0" w:name="_Toc213958040"/>
    </w:p>
    <w:p w14:paraId="3DD376C4" w14:textId="77777777" w:rsidR="006D300B" w:rsidRPr="006D300B" w:rsidRDefault="006D300B" w:rsidP="006D300B">
      <w:pPr>
        <w:pStyle w:val="ListParagraph"/>
        <w:keepNext/>
        <w:keepLines/>
        <w:numPr>
          <w:ilvl w:val="0"/>
          <w:numId w:val="1"/>
        </w:numPr>
        <w:spacing w:before="120" w:after="120" w:line="300" w:lineRule="auto"/>
        <w:contextualSpacing w:val="0"/>
        <w:outlineLvl w:val="2"/>
        <w:rPr>
          <w:rFonts w:eastAsiaTheme="majorEastAsia" w:cs="Arial"/>
          <w:vanish/>
          <w:sz w:val="28"/>
          <w:szCs w:val="24"/>
        </w:rPr>
      </w:pPr>
    </w:p>
    <w:p w14:paraId="70CA351F" w14:textId="77777777" w:rsidR="006D300B" w:rsidRPr="006D300B" w:rsidRDefault="006D300B" w:rsidP="006D300B">
      <w:pPr>
        <w:pStyle w:val="ListParagraph"/>
        <w:keepNext/>
        <w:keepLines/>
        <w:numPr>
          <w:ilvl w:val="0"/>
          <w:numId w:val="1"/>
        </w:numPr>
        <w:spacing w:before="120" w:after="120" w:line="300" w:lineRule="auto"/>
        <w:contextualSpacing w:val="0"/>
        <w:outlineLvl w:val="2"/>
        <w:rPr>
          <w:rFonts w:eastAsiaTheme="majorEastAsia" w:cs="Arial"/>
          <w:vanish/>
          <w:sz w:val="28"/>
          <w:szCs w:val="24"/>
        </w:rPr>
      </w:pPr>
    </w:p>
    <w:p w14:paraId="721832E8" w14:textId="77777777" w:rsidR="006D300B" w:rsidRPr="006D300B" w:rsidRDefault="006D300B" w:rsidP="006D300B">
      <w:pPr>
        <w:pStyle w:val="ListParagraph"/>
        <w:keepNext/>
        <w:keepLines/>
        <w:numPr>
          <w:ilvl w:val="0"/>
          <w:numId w:val="1"/>
        </w:numPr>
        <w:spacing w:before="120" w:after="120" w:line="300" w:lineRule="auto"/>
        <w:contextualSpacing w:val="0"/>
        <w:outlineLvl w:val="2"/>
        <w:rPr>
          <w:rFonts w:eastAsiaTheme="majorEastAsia" w:cs="Arial"/>
          <w:vanish/>
          <w:sz w:val="28"/>
          <w:szCs w:val="24"/>
        </w:rPr>
      </w:pPr>
    </w:p>
    <w:p w14:paraId="4F532135" w14:textId="77777777" w:rsidR="006D300B" w:rsidRPr="006D300B" w:rsidRDefault="006D300B" w:rsidP="006D300B">
      <w:pPr>
        <w:pStyle w:val="ListParagraph"/>
        <w:keepNext/>
        <w:keepLines/>
        <w:numPr>
          <w:ilvl w:val="1"/>
          <w:numId w:val="1"/>
        </w:numPr>
        <w:spacing w:before="120" w:after="120" w:line="300" w:lineRule="auto"/>
        <w:contextualSpacing w:val="0"/>
        <w:outlineLvl w:val="2"/>
        <w:rPr>
          <w:rFonts w:eastAsiaTheme="majorEastAsia" w:cs="Arial"/>
          <w:vanish/>
          <w:sz w:val="28"/>
          <w:szCs w:val="24"/>
        </w:rPr>
      </w:pPr>
    </w:p>
    <w:p w14:paraId="51788ED3" w14:textId="77777777" w:rsidR="006D300B" w:rsidRPr="006D300B" w:rsidRDefault="006D300B" w:rsidP="006D300B">
      <w:pPr>
        <w:pStyle w:val="ListParagraph"/>
        <w:keepNext/>
        <w:keepLines/>
        <w:numPr>
          <w:ilvl w:val="1"/>
          <w:numId w:val="1"/>
        </w:numPr>
        <w:spacing w:before="120" w:after="120" w:line="300" w:lineRule="auto"/>
        <w:contextualSpacing w:val="0"/>
        <w:outlineLvl w:val="2"/>
        <w:rPr>
          <w:rFonts w:eastAsiaTheme="majorEastAsia" w:cs="Arial"/>
          <w:vanish/>
          <w:sz w:val="28"/>
          <w:szCs w:val="24"/>
        </w:rPr>
      </w:pPr>
    </w:p>
    <w:p w14:paraId="01270BD5" w14:textId="77777777" w:rsidR="006D300B" w:rsidRPr="006D300B" w:rsidRDefault="006D300B" w:rsidP="006D300B">
      <w:pPr>
        <w:pStyle w:val="ListParagraph"/>
        <w:keepNext/>
        <w:keepLines/>
        <w:numPr>
          <w:ilvl w:val="2"/>
          <w:numId w:val="1"/>
        </w:numPr>
        <w:spacing w:before="120" w:after="120" w:line="300" w:lineRule="auto"/>
        <w:contextualSpacing w:val="0"/>
        <w:outlineLvl w:val="2"/>
        <w:rPr>
          <w:rFonts w:eastAsiaTheme="majorEastAsia" w:cs="Arial"/>
          <w:vanish/>
          <w:sz w:val="28"/>
          <w:szCs w:val="24"/>
        </w:rPr>
      </w:pPr>
    </w:p>
    <w:p w14:paraId="0BD9B280" w14:textId="77777777" w:rsidR="006D300B" w:rsidRPr="006D300B" w:rsidRDefault="006D300B" w:rsidP="006D300B">
      <w:pPr>
        <w:pStyle w:val="ListParagraph"/>
        <w:keepNext/>
        <w:keepLines/>
        <w:numPr>
          <w:ilvl w:val="2"/>
          <w:numId w:val="1"/>
        </w:numPr>
        <w:spacing w:before="120" w:after="120" w:line="300" w:lineRule="auto"/>
        <w:contextualSpacing w:val="0"/>
        <w:outlineLvl w:val="2"/>
        <w:rPr>
          <w:rFonts w:eastAsiaTheme="majorEastAsia" w:cs="Arial"/>
          <w:vanish/>
          <w:sz w:val="28"/>
          <w:szCs w:val="24"/>
        </w:rPr>
      </w:pPr>
    </w:p>
    <w:p w14:paraId="04FF8D72" w14:textId="77777777" w:rsidR="006D300B" w:rsidRPr="006D300B" w:rsidRDefault="006D300B" w:rsidP="006D300B">
      <w:pPr>
        <w:pStyle w:val="ListParagraph"/>
        <w:keepNext/>
        <w:keepLines/>
        <w:numPr>
          <w:ilvl w:val="2"/>
          <w:numId w:val="1"/>
        </w:numPr>
        <w:spacing w:before="120" w:after="120" w:line="300" w:lineRule="auto"/>
        <w:contextualSpacing w:val="0"/>
        <w:outlineLvl w:val="2"/>
        <w:rPr>
          <w:rFonts w:eastAsiaTheme="majorEastAsia" w:cs="Arial"/>
          <w:vanish/>
          <w:sz w:val="28"/>
          <w:szCs w:val="24"/>
        </w:rPr>
      </w:pPr>
    </w:p>
    <w:p w14:paraId="2B07DE28" w14:textId="77777777" w:rsidR="006D300B" w:rsidRPr="006D300B" w:rsidRDefault="006D300B" w:rsidP="006D300B">
      <w:pPr>
        <w:pStyle w:val="ListParagraph"/>
        <w:keepNext/>
        <w:keepLines/>
        <w:numPr>
          <w:ilvl w:val="2"/>
          <w:numId w:val="1"/>
        </w:numPr>
        <w:spacing w:before="120" w:after="120" w:line="300" w:lineRule="auto"/>
        <w:contextualSpacing w:val="0"/>
        <w:outlineLvl w:val="2"/>
        <w:rPr>
          <w:rFonts w:eastAsiaTheme="majorEastAsia" w:cs="Arial"/>
          <w:vanish/>
          <w:sz w:val="28"/>
          <w:szCs w:val="24"/>
        </w:rPr>
      </w:pPr>
    </w:p>
    <w:p w14:paraId="76421DC0" w14:textId="77777777" w:rsidR="006D300B" w:rsidRPr="006D300B" w:rsidRDefault="006D300B" w:rsidP="006D300B">
      <w:pPr>
        <w:pStyle w:val="ListParagraph"/>
        <w:keepNext/>
        <w:keepLines/>
        <w:numPr>
          <w:ilvl w:val="2"/>
          <w:numId w:val="1"/>
        </w:numPr>
        <w:spacing w:before="120" w:after="120" w:line="300" w:lineRule="auto"/>
        <w:contextualSpacing w:val="0"/>
        <w:outlineLvl w:val="2"/>
        <w:rPr>
          <w:rFonts w:eastAsiaTheme="majorEastAsia" w:cs="Arial"/>
          <w:vanish/>
          <w:sz w:val="28"/>
          <w:szCs w:val="24"/>
        </w:rPr>
      </w:pPr>
    </w:p>
    <w:p w14:paraId="7891BC86" w14:textId="77777777" w:rsidR="006D300B" w:rsidRPr="006D300B" w:rsidRDefault="006D300B" w:rsidP="006D300B">
      <w:pPr>
        <w:pStyle w:val="ListParagraph"/>
        <w:keepNext/>
        <w:keepLines/>
        <w:numPr>
          <w:ilvl w:val="2"/>
          <w:numId w:val="1"/>
        </w:numPr>
        <w:spacing w:before="120" w:after="120" w:line="300" w:lineRule="auto"/>
        <w:contextualSpacing w:val="0"/>
        <w:outlineLvl w:val="2"/>
        <w:rPr>
          <w:rFonts w:eastAsiaTheme="majorEastAsia" w:cs="Arial"/>
          <w:vanish/>
          <w:sz w:val="28"/>
          <w:szCs w:val="24"/>
        </w:rPr>
      </w:pPr>
    </w:p>
    <w:p w14:paraId="5438CEA2" w14:textId="617C4C8E" w:rsidR="006D300B" w:rsidRPr="006C0E34" w:rsidRDefault="006D300B" w:rsidP="006D300B">
      <w:pPr>
        <w:pStyle w:val="Heading3"/>
        <w:numPr>
          <w:ilvl w:val="2"/>
          <w:numId w:val="1"/>
        </w:numPr>
        <w:spacing w:before="120" w:after="120" w:line="300" w:lineRule="auto"/>
        <w:rPr>
          <w:rFonts w:cs="Arial"/>
          <w:color w:val="auto"/>
          <w:szCs w:val="24"/>
        </w:rPr>
      </w:pPr>
      <w:r w:rsidRPr="006C0E34">
        <w:rPr>
          <w:rFonts w:cs="Arial"/>
          <w:color w:val="auto"/>
          <w:szCs w:val="24"/>
        </w:rPr>
        <w:t>Demand Resource</w:t>
      </w:r>
      <w:r>
        <w:rPr>
          <w:rFonts w:cs="Arial"/>
          <w:color w:val="auto"/>
          <w:szCs w:val="24"/>
        </w:rPr>
        <w:t>s</w:t>
      </w:r>
      <w:bookmarkEnd w:id="0"/>
      <w:r w:rsidRPr="006C0E34">
        <w:rPr>
          <w:rFonts w:cs="Arial"/>
          <w:color w:val="auto"/>
          <w:szCs w:val="24"/>
        </w:rPr>
        <w:t xml:space="preserve"> </w:t>
      </w:r>
    </w:p>
    <w:p w14:paraId="225BF01A" w14:textId="77777777" w:rsidR="006D300B" w:rsidRDefault="006D300B" w:rsidP="006D300B">
      <w:pPr>
        <w:pStyle w:val="Heading4"/>
        <w:numPr>
          <w:ilvl w:val="3"/>
          <w:numId w:val="1"/>
        </w:numPr>
        <w:tabs>
          <w:tab w:val="num" w:pos="360"/>
          <w:tab w:val="num" w:pos="1440"/>
        </w:tabs>
        <w:spacing w:before="120" w:after="120" w:line="300" w:lineRule="auto"/>
        <w:ind w:left="360" w:hanging="360"/>
        <w:rPr>
          <w:rFonts w:cs="Arial"/>
          <w:i w:val="0"/>
          <w:sz w:val="24"/>
          <w:szCs w:val="24"/>
        </w:rPr>
      </w:pPr>
      <w:r>
        <w:rPr>
          <w:rFonts w:cs="Arial"/>
          <w:sz w:val="24"/>
          <w:szCs w:val="24"/>
        </w:rPr>
        <w:t>Demand Resource Qualification Requirements</w:t>
      </w:r>
    </w:p>
    <w:p w14:paraId="3C16D85B" w14:textId="77777777" w:rsidR="006D300B" w:rsidRPr="0016214F" w:rsidRDefault="006D300B" w:rsidP="006D300B">
      <w:r>
        <w:t>Market Participants may qualify a resource as a Load Modifying Resource participating as a Demand Resource by meeting each of the following requirements:</w:t>
      </w:r>
    </w:p>
    <w:p w14:paraId="5376FCC4" w14:textId="77777777" w:rsidR="006D300B" w:rsidRDefault="006D300B" w:rsidP="006D300B">
      <w:pPr>
        <w:pStyle w:val="ListParagraph"/>
        <w:numPr>
          <w:ilvl w:val="0"/>
          <w:numId w:val="3"/>
        </w:numPr>
      </w:pPr>
      <w:r>
        <w:t>Confirming through the registration process that the total Demand reduction is not exclusively accomplished and dependent on the dispatch of a BTMG capable of injecting onto the Transmission System or distribution system.</w:t>
      </w:r>
    </w:p>
    <w:p w14:paraId="16CBBFA6" w14:textId="77777777" w:rsidR="006D300B" w:rsidRDefault="006D300B" w:rsidP="006D300B">
      <w:pPr>
        <w:pStyle w:val="ListParagraph"/>
        <w:numPr>
          <w:ilvl w:val="0"/>
          <w:numId w:val="3"/>
        </w:numPr>
      </w:pPr>
      <w:r>
        <w:t>Confirming exclusive rights to represent the Demand Resource and that the Market Participant has the authority to reduce Demand using the Demand Resource for the entire season and Planning Year in which the LMR is registered. In the case of an ARC registering a Demand Resource, this would include uploading into the MECT registration, any contractual documentation including signature pages or confirmations from the end-use customer that establishes an active relationship for the seasons and Planning Year in which the Demand Resource is registered as well as the agreed upon MW amount of load the end-use customer agrees to reduce. Additional documentation may be provided (or requested) to confirm contractual rights between all MPs and the end use customers, including full contracts, and retail rate tariffs or riders.</w:t>
      </w:r>
    </w:p>
    <w:p w14:paraId="218411FB" w14:textId="77777777" w:rsidR="006D300B" w:rsidRDefault="006D300B" w:rsidP="006D300B">
      <w:pPr>
        <w:pStyle w:val="ListParagraph"/>
        <w:numPr>
          <w:ilvl w:val="0"/>
          <w:numId w:val="3"/>
        </w:numPr>
      </w:pPr>
      <w:r>
        <w:t>Confirming through the registration process that the Demand Resource is equal to or greater than 100 kW. An aggregation of smaller resources within an LBA that can reduce Demand may qualify in meeting this requirement if they are within the same Load Zone CPNode.</w:t>
      </w:r>
    </w:p>
    <w:p w14:paraId="62B29962" w14:textId="77777777" w:rsidR="006D300B" w:rsidRDefault="006D300B" w:rsidP="006D300B">
      <w:pPr>
        <w:pStyle w:val="ListParagraph"/>
        <w:numPr>
          <w:ilvl w:val="0"/>
          <w:numId w:val="3"/>
        </w:numPr>
      </w:pPr>
      <w:r>
        <w:t>A Market Participant must demonstrate Demand reduction capability for each Planning Year on an annual basis.</w:t>
      </w:r>
    </w:p>
    <w:p w14:paraId="78B31E36" w14:textId="77777777" w:rsidR="006D300B" w:rsidRDefault="006D300B" w:rsidP="006D300B">
      <w:pPr>
        <w:pStyle w:val="ListParagraph"/>
        <w:numPr>
          <w:ilvl w:val="1"/>
          <w:numId w:val="3"/>
        </w:numPr>
      </w:pPr>
      <w:r>
        <w:t>A Market Participant may demonstrate Demand reduction capability by performing a real power test as defined below.</w:t>
      </w:r>
    </w:p>
    <w:p w14:paraId="0A9B071D" w14:textId="77777777" w:rsidR="006D300B" w:rsidRDefault="006D300B" w:rsidP="006D300B">
      <w:pPr>
        <w:pStyle w:val="ListParagraph"/>
        <w:numPr>
          <w:ilvl w:val="1"/>
          <w:numId w:val="3"/>
        </w:numPr>
      </w:pPr>
      <w:r>
        <w:t>A Market Participant may waive the requirements to perform a real power test and submit the appropriate documentation as specified below.</w:t>
      </w:r>
    </w:p>
    <w:p w14:paraId="786CA2FF" w14:textId="77777777" w:rsidR="006D300B" w:rsidRDefault="006D300B" w:rsidP="006D300B">
      <w:pPr>
        <w:pStyle w:val="ListParagraph"/>
        <w:numPr>
          <w:ilvl w:val="0"/>
          <w:numId w:val="3"/>
        </w:numPr>
      </w:pPr>
      <w:r>
        <w:t>Confirming through the registration process such Demand Resource can be available to reduce Demand with no more than six (6) hours advance notice from MISO or the LBA and sustain the reduction in Demand for a minimum of four (4) consecutive hours; AND</w:t>
      </w:r>
    </w:p>
    <w:p w14:paraId="7AB60B11" w14:textId="77777777" w:rsidR="006D300B" w:rsidRDefault="006D300B" w:rsidP="006D300B">
      <w:pPr>
        <w:pStyle w:val="ListParagraph"/>
        <w:numPr>
          <w:ilvl w:val="1"/>
          <w:numId w:val="3"/>
        </w:numPr>
      </w:pPr>
      <w:r>
        <w:t xml:space="preserve">The minimum registered notification time of a Demand Resource must be at least </w:t>
      </w:r>
      <w:proofErr w:type="gramStart"/>
      <w:r>
        <w:t>as long as</w:t>
      </w:r>
      <w:proofErr w:type="gramEnd"/>
      <w:r>
        <w:t xml:space="preserve"> the time needed to perform the real power test.</w:t>
      </w:r>
    </w:p>
    <w:p w14:paraId="34D383E3" w14:textId="77777777" w:rsidR="006D300B" w:rsidRDefault="006D300B" w:rsidP="006D300B">
      <w:pPr>
        <w:pStyle w:val="ListParagraph"/>
        <w:numPr>
          <w:ilvl w:val="1"/>
          <w:numId w:val="3"/>
        </w:numPr>
      </w:pPr>
      <w:r>
        <w:t>A Market Participant registering a Demand Resource utilizing the waiver provision must provide documentation supporting the ability to reduce Demand within the registered total notification time as set forth below.</w:t>
      </w:r>
    </w:p>
    <w:p w14:paraId="317766EB" w14:textId="77777777" w:rsidR="006D300B" w:rsidRDefault="006D300B" w:rsidP="006D300B">
      <w:pPr>
        <w:pStyle w:val="ListParagraph"/>
        <w:numPr>
          <w:ilvl w:val="1"/>
          <w:numId w:val="3"/>
        </w:numPr>
      </w:pPr>
      <w:r>
        <w:t>Residential programs for which Demand reduction is achieved by curtailing load for shorter intervals and rotating through residents may qualify, provided the total measured Demand reduction remains at or above the amount of Demand reduction submitted in real-time.</w:t>
      </w:r>
    </w:p>
    <w:p w14:paraId="4CB41BD7" w14:textId="77777777" w:rsidR="006D300B" w:rsidRDefault="006D300B" w:rsidP="006D300B">
      <w:pPr>
        <w:pStyle w:val="ListParagraph"/>
        <w:numPr>
          <w:ilvl w:val="2"/>
          <w:numId w:val="3"/>
        </w:numPr>
      </w:pPr>
      <w:r>
        <w:t>For example, a program may register 10,000 residents to provide 5 MW of Demand reduction, with the expectation that only 5,000 residents will be curtailed at a time.</w:t>
      </w:r>
    </w:p>
    <w:p w14:paraId="349CD21C" w14:textId="77777777" w:rsidR="006D300B" w:rsidRDefault="006D300B" w:rsidP="006D300B">
      <w:pPr>
        <w:pStyle w:val="ListParagraph"/>
        <w:numPr>
          <w:ilvl w:val="2"/>
          <w:numId w:val="3"/>
        </w:numPr>
      </w:pPr>
      <w:r>
        <w:lastRenderedPageBreak/>
        <w:t>If a program rotates through residential customers, it must document such rotation at the time of registration.</w:t>
      </w:r>
    </w:p>
    <w:p w14:paraId="7F354F30" w14:textId="77777777" w:rsidR="006D300B" w:rsidRDefault="006D300B" w:rsidP="006D300B">
      <w:pPr>
        <w:pStyle w:val="ListParagraph"/>
        <w:numPr>
          <w:ilvl w:val="0"/>
          <w:numId w:val="3"/>
        </w:numPr>
      </w:pPr>
      <w:r>
        <w:t xml:space="preserve">Confirming through the registration process that the Demand Resource is capable of being interrupted at least the first (5) times during the Summer and Winter and at least (3) times during the Spring and Fall as needed by MISO or the LBA for Emergency purposes, consistent with the registration information of the physical capability of the Demand Resource. </w:t>
      </w:r>
    </w:p>
    <w:p w14:paraId="3B2BEE88" w14:textId="77777777" w:rsidR="006D300B" w:rsidRPr="0016214F" w:rsidRDefault="006D300B" w:rsidP="006D300B">
      <w:pPr>
        <w:pStyle w:val="ListParagraph"/>
        <w:numPr>
          <w:ilvl w:val="0"/>
          <w:numId w:val="3"/>
        </w:numPr>
      </w:pPr>
      <w:r>
        <w:t>Demand Resources that retired prior to the Planning Year will not qualify as a Planning Resource.</w:t>
      </w:r>
    </w:p>
    <w:p w14:paraId="1F6AA842" w14:textId="77777777" w:rsidR="006D300B" w:rsidRDefault="006D300B" w:rsidP="006D300B">
      <w:pPr>
        <w:pStyle w:val="Heading4"/>
        <w:numPr>
          <w:ilvl w:val="3"/>
          <w:numId w:val="1"/>
        </w:numPr>
        <w:tabs>
          <w:tab w:val="num" w:pos="360"/>
        </w:tabs>
        <w:spacing w:before="120" w:after="120" w:line="300" w:lineRule="auto"/>
        <w:ind w:left="0" w:firstLine="0"/>
        <w:rPr>
          <w:rFonts w:cs="Arial"/>
          <w:i w:val="0"/>
          <w:sz w:val="24"/>
          <w:szCs w:val="24"/>
        </w:rPr>
      </w:pPr>
      <w:bookmarkStart w:id="1" w:name="_Toc278895049"/>
      <w:bookmarkStart w:id="2" w:name="_Toc261527595"/>
      <w:bookmarkStart w:id="3" w:name="_Toc288831394"/>
      <w:bookmarkStart w:id="4" w:name="_Toc332060297"/>
      <w:r w:rsidRPr="006C0E34">
        <w:rPr>
          <w:rFonts w:cs="Arial"/>
          <w:sz w:val="24"/>
          <w:szCs w:val="24"/>
        </w:rPr>
        <w:t>Demand Resource Registration Process</w:t>
      </w:r>
      <w:bookmarkEnd w:id="1"/>
      <w:bookmarkEnd w:id="2"/>
      <w:bookmarkEnd w:id="3"/>
      <w:bookmarkEnd w:id="4"/>
    </w:p>
    <w:p w14:paraId="59C59F14" w14:textId="77777777" w:rsidR="006D300B" w:rsidRPr="006C0E34" w:rsidRDefault="006D300B" w:rsidP="006D300B">
      <w:pPr>
        <w:spacing w:after="0" w:line="300" w:lineRule="auto"/>
      </w:pPr>
      <w:r w:rsidRPr="00EC71CB">
        <w:t xml:space="preserve">A Market Participant can register a Demand Resource to be used as a Planning Resource and receive Seasonal Accredited Capacity MW for said Demand Resource. This Seasonal Accredited Capacity can be converted to ZRCs by providing the documentation set forth below at the time of registration and all information set forth in Appendix D – Registration of Demand Resources. A Market Participant </w:t>
      </w:r>
      <w:proofErr w:type="gramStart"/>
      <w:r w:rsidRPr="00EC71CB">
        <w:t>registering</w:t>
      </w:r>
      <w:proofErr w:type="gramEnd"/>
      <w:r w:rsidRPr="00EC71CB">
        <w:t xml:space="preserve"> a Demand Resource must provide the documentation set forth below prior to March 1 prior to the start of the Planning Year. A resource for which the Market Participant fails to provide the documentation set forth below will be prohibited from registering in the Planning Resource Auction.</w:t>
      </w:r>
    </w:p>
    <w:p w14:paraId="0D749776"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r w:rsidRPr="006C0E34">
        <w:rPr>
          <w:rFonts w:cs="Arial"/>
          <w:sz w:val="24"/>
          <w:szCs w:val="24"/>
        </w:rPr>
        <w:t xml:space="preserve">Demand Resource </w:t>
      </w:r>
      <w:r>
        <w:rPr>
          <w:rFonts w:cs="Arial"/>
          <w:sz w:val="24"/>
          <w:szCs w:val="24"/>
        </w:rPr>
        <w:t>Documentation Requirements</w:t>
      </w:r>
    </w:p>
    <w:p w14:paraId="4CE35180" w14:textId="77777777" w:rsidR="006D300B" w:rsidRDefault="006D300B" w:rsidP="006D300B">
      <w:pPr>
        <w:spacing w:after="0" w:line="300" w:lineRule="auto"/>
      </w:pPr>
      <w:r>
        <w:t>At the time of registration, a Market Participant must provide the following documentation:</w:t>
      </w:r>
    </w:p>
    <w:p w14:paraId="47BA67DA" w14:textId="77777777" w:rsidR="006D300B" w:rsidRDefault="006D300B" w:rsidP="006D300B">
      <w:pPr>
        <w:spacing w:after="0" w:line="300" w:lineRule="auto"/>
      </w:pPr>
    </w:p>
    <w:p w14:paraId="552EF38E" w14:textId="77777777" w:rsidR="006D300B" w:rsidRDefault="006D300B" w:rsidP="006D300B">
      <w:pPr>
        <w:pStyle w:val="ListParagraph"/>
        <w:numPr>
          <w:ilvl w:val="0"/>
          <w:numId w:val="4"/>
        </w:numPr>
        <w:spacing w:after="0" w:line="300" w:lineRule="auto"/>
      </w:pPr>
      <w:r>
        <w:t>The operating procedures used by the entity with operational control of the resource that accomplishes the Demand reduction.</w:t>
      </w:r>
    </w:p>
    <w:p w14:paraId="054274DE" w14:textId="77777777" w:rsidR="006D300B" w:rsidRDefault="006D300B" w:rsidP="006D300B">
      <w:pPr>
        <w:pStyle w:val="ListParagraph"/>
        <w:numPr>
          <w:ilvl w:val="1"/>
          <w:numId w:val="4"/>
        </w:numPr>
        <w:spacing w:after="0" w:line="300" w:lineRule="auto"/>
      </w:pPr>
      <w:r>
        <w:t>This information must include:</w:t>
      </w:r>
    </w:p>
    <w:p w14:paraId="618A19CD" w14:textId="77777777" w:rsidR="006D300B" w:rsidRDefault="006D300B" w:rsidP="006D300B">
      <w:pPr>
        <w:pStyle w:val="ListParagraph"/>
        <w:numPr>
          <w:ilvl w:val="2"/>
          <w:numId w:val="4"/>
        </w:numPr>
        <w:spacing w:after="0" w:line="300" w:lineRule="auto"/>
      </w:pPr>
      <w:r>
        <w:t>The method the Market Participant will use to communicate with the customer; and</w:t>
      </w:r>
    </w:p>
    <w:p w14:paraId="0A0CAD4F" w14:textId="77777777" w:rsidR="006D300B" w:rsidRDefault="006D300B" w:rsidP="006D300B">
      <w:pPr>
        <w:pStyle w:val="ListParagraph"/>
        <w:numPr>
          <w:ilvl w:val="2"/>
          <w:numId w:val="4"/>
        </w:numPr>
        <w:spacing w:after="0" w:line="300" w:lineRule="auto"/>
      </w:pPr>
      <w:r>
        <w:t>The documented procedures used by the customer to curtail the load(s); and</w:t>
      </w:r>
    </w:p>
    <w:p w14:paraId="23616F64" w14:textId="77777777" w:rsidR="006D300B" w:rsidRDefault="006D300B" w:rsidP="006D300B">
      <w:pPr>
        <w:pStyle w:val="ListParagraph"/>
        <w:numPr>
          <w:ilvl w:val="2"/>
          <w:numId w:val="4"/>
        </w:numPr>
        <w:spacing w:after="0" w:line="300" w:lineRule="auto"/>
      </w:pPr>
      <w:r>
        <w:t>The expected time required to provide curtailment. This time must be less than or equal to the registered notification time; and</w:t>
      </w:r>
    </w:p>
    <w:p w14:paraId="6BFB11F0" w14:textId="77777777" w:rsidR="006D300B" w:rsidRDefault="006D300B" w:rsidP="006D300B">
      <w:pPr>
        <w:pStyle w:val="ListParagraph"/>
        <w:numPr>
          <w:ilvl w:val="2"/>
          <w:numId w:val="4"/>
        </w:numPr>
        <w:spacing w:after="0" w:line="300" w:lineRule="auto"/>
      </w:pPr>
      <w:r>
        <w:t>Confirmation that the end-use customer can maintain Demand reduction for a minimum of four (4) consecutive Hours.</w:t>
      </w:r>
    </w:p>
    <w:p w14:paraId="19EC1063" w14:textId="77777777" w:rsidR="006D300B" w:rsidRDefault="006D300B" w:rsidP="006D300B">
      <w:pPr>
        <w:pStyle w:val="ListParagraph"/>
        <w:numPr>
          <w:ilvl w:val="0"/>
          <w:numId w:val="4"/>
        </w:numPr>
        <w:spacing w:after="0" w:line="300" w:lineRule="auto"/>
      </w:pPr>
      <w:r>
        <w:t>Verification that the load expected to be curtailed was curtailed during the real power test.</w:t>
      </w:r>
    </w:p>
    <w:p w14:paraId="103D6489" w14:textId="77777777" w:rsidR="006D300B" w:rsidRDefault="006D300B" w:rsidP="006D300B">
      <w:pPr>
        <w:pStyle w:val="ListParagraph"/>
        <w:numPr>
          <w:ilvl w:val="1"/>
          <w:numId w:val="4"/>
        </w:numPr>
        <w:spacing w:after="0" w:line="300" w:lineRule="auto"/>
      </w:pPr>
      <w:r>
        <w:t>Additional load may also be curtailed but will not count towards the amount of Demand reduction achieved during the real power test.</w:t>
      </w:r>
    </w:p>
    <w:p w14:paraId="1E468296" w14:textId="77777777" w:rsidR="006D300B" w:rsidRDefault="006D300B" w:rsidP="006D300B">
      <w:pPr>
        <w:pStyle w:val="ListParagraph"/>
        <w:numPr>
          <w:ilvl w:val="0"/>
          <w:numId w:val="4"/>
        </w:numPr>
        <w:spacing w:after="0" w:line="300" w:lineRule="auto"/>
      </w:pPr>
      <w:r>
        <w:t xml:space="preserve">All Market Participants </w:t>
      </w:r>
      <w:proofErr w:type="gramStart"/>
      <w:r>
        <w:t>registering</w:t>
      </w:r>
      <w:proofErr w:type="gramEnd"/>
      <w:r>
        <w:t xml:space="preserve"> a Demand Resource with a Firm Service Level must provide evidence supporting the registered Firm Service Level. Failure to provide this </w:t>
      </w:r>
      <w:r>
        <w:lastRenderedPageBreak/>
        <w:t>information may result in the resource being prohibited from using the firm service level baseline.</w:t>
      </w:r>
    </w:p>
    <w:p w14:paraId="120C6B6B" w14:textId="77777777" w:rsidR="006D300B" w:rsidRDefault="006D300B" w:rsidP="006D300B">
      <w:pPr>
        <w:pStyle w:val="ListParagraph"/>
        <w:numPr>
          <w:ilvl w:val="1"/>
          <w:numId w:val="4"/>
        </w:numPr>
        <w:spacing w:after="0" w:line="300" w:lineRule="auto"/>
      </w:pPr>
      <w:r>
        <w:t>Supporting documentation may include load processes for which curtailment is not a requirement and an estimation of the maximum Demand used by the process; or</w:t>
      </w:r>
    </w:p>
    <w:p w14:paraId="0181A0D2" w14:textId="77777777" w:rsidR="006D300B" w:rsidRDefault="006D300B" w:rsidP="006D300B">
      <w:pPr>
        <w:pStyle w:val="ListParagraph"/>
        <w:numPr>
          <w:ilvl w:val="1"/>
          <w:numId w:val="4"/>
        </w:numPr>
        <w:spacing w:after="0" w:line="300" w:lineRule="auto"/>
      </w:pPr>
      <w:r>
        <w:t>Contractual restrictions with the Load Serving Entity or Electric Distribution Company specifying a minimum service guarantee.</w:t>
      </w:r>
    </w:p>
    <w:p w14:paraId="65034D90" w14:textId="77777777" w:rsidR="006D300B" w:rsidRDefault="006D300B" w:rsidP="006D300B">
      <w:pPr>
        <w:pStyle w:val="ListParagraph"/>
        <w:numPr>
          <w:ilvl w:val="0"/>
          <w:numId w:val="4"/>
        </w:numPr>
        <w:spacing w:after="0" w:line="300" w:lineRule="auto"/>
      </w:pPr>
      <w:r>
        <w:t xml:space="preserve">All Market Participants registering resources that are metered at hourly intervals or less must provide Hourly meter data from the most recent full Season in which data is available at the time of registration for each Season being registered for which hourly meter data is available. For example, if registering for Summer 2026, meter data spanning Summer 2025 must be provided. A Market Participant </w:t>
      </w:r>
      <w:proofErr w:type="gramStart"/>
      <w:r>
        <w:t>need</w:t>
      </w:r>
      <w:proofErr w:type="gramEnd"/>
      <w:r>
        <w:t xml:space="preserve"> only provide meter data for each Season the Demand Resource is registering to participate.</w:t>
      </w:r>
    </w:p>
    <w:p w14:paraId="4AC36CC6" w14:textId="77777777" w:rsidR="006D300B" w:rsidRDefault="006D300B" w:rsidP="006D300B">
      <w:pPr>
        <w:pStyle w:val="ListParagraph"/>
        <w:numPr>
          <w:ilvl w:val="0"/>
          <w:numId w:val="4"/>
        </w:numPr>
        <w:spacing w:after="0" w:line="300" w:lineRule="auto"/>
      </w:pPr>
      <w:r>
        <w:t>Documentation supporting the real power test and accredited values of the Demand Resources.</w:t>
      </w:r>
    </w:p>
    <w:p w14:paraId="4630B69B" w14:textId="77777777" w:rsidR="006D300B" w:rsidRDefault="006D300B" w:rsidP="006D300B">
      <w:pPr>
        <w:pStyle w:val="ListParagraph"/>
        <w:numPr>
          <w:ilvl w:val="1"/>
          <w:numId w:val="4"/>
        </w:numPr>
        <w:spacing w:after="0" w:line="300" w:lineRule="auto"/>
      </w:pPr>
      <w:r>
        <w:t>For Market Participants that are not ARCs, that are registering a Demand Resource that does not use a firm service level baseline, and that are required to perform a real power test; the test provides documentation of the accredited values.</w:t>
      </w:r>
    </w:p>
    <w:p w14:paraId="55DA2782" w14:textId="77777777" w:rsidR="006D300B" w:rsidRDefault="006D300B" w:rsidP="006D300B">
      <w:pPr>
        <w:pStyle w:val="ListParagraph"/>
        <w:numPr>
          <w:ilvl w:val="1"/>
          <w:numId w:val="4"/>
        </w:numPr>
        <w:spacing w:after="0" w:line="300" w:lineRule="auto"/>
      </w:pPr>
      <w:r>
        <w:t>For Market Participants that are not ARCs, that are registering a Demand Resource using the firm service level baseline, documentation must include the associated contribution of the asset to the Coincident Peak Forecast.</w:t>
      </w:r>
    </w:p>
    <w:p w14:paraId="2D2A7FD8" w14:textId="77777777" w:rsidR="006D300B" w:rsidRDefault="006D300B" w:rsidP="006D300B">
      <w:pPr>
        <w:pStyle w:val="ListParagraph"/>
        <w:numPr>
          <w:ilvl w:val="1"/>
          <w:numId w:val="4"/>
        </w:numPr>
        <w:spacing w:after="0" w:line="300" w:lineRule="auto"/>
      </w:pPr>
      <w:r>
        <w:t>For ARCs registering a Demand Resource, the documentation requirements are specified in section 4.2.7.4 – Submission of ARC LMR Registrations.</w:t>
      </w:r>
    </w:p>
    <w:p w14:paraId="52773E3C" w14:textId="77777777" w:rsidR="006D300B" w:rsidRDefault="006D300B" w:rsidP="006D300B">
      <w:pPr>
        <w:pStyle w:val="ListParagraph"/>
        <w:numPr>
          <w:ilvl w:val="1"/>
          <w:numId w:val="4"/>
        </w:numPr>
        <w:spacing w:after="0" w:line="300" w:lineRule="auto"/>
      </w:pPr>
      <w:r>
        <w:t>For Market Participants electing to use a real power test waiver provision, the amount of MWs registered under the retail program or previously registered provide the required documentation requirements.</w:t>
      </w:r>
    </w:p>
    <w:p w14:paraId="439B698D" w14:textId="77777777" w:rsidR="006D300B" w:rsidRDefault="006D300B" w:rsidP="006D300B">
      <w:pPr>
        <w:pStyle w:val="ListParagraph"/>
        <w:numPr>
          <w:ilvl w:val="0"/>
          <w:numId w:val="4"/>
        </w:numPr>
        <w:spacing w:after="0" w:line="300" w:lineRule="auto"/>
      </w:pPr>
      <w:r>
        <w:t>A Market Participant must provide account #, meter #, and meter addresses for all components being registered as a Demand Resource</w:t>
      </w:r>
    </w:p>
    <w:p w14:paraId="3C2D1353" w14:textId="77777777" w:rsidR="006D300B" w:rsidRDefault="006D300B" w:rsidP="006D300B">
      <w:pPr>
        <w:pStyle w:val="ListParagraph"/>
        <w:numPr>
          <w:ilvl w:val="1"/>
          <w:numId w:val="4"/>
        </w:numPr>
        <w:spacing w:after="0" w:line="300" w:lineRule="auto"/>
      </w:pPr>
      <w:r>
        <w:t xml:space="preserve">Starting with PY 2027/2028 all assets at least 5 MW in size must provide the </w:t>
      </w:r>
      <w:proofErr w:type="spellStart"/>
      <w:r>
        <w:t>EPNode</w:t>
      </w:r>
      <w:proofErr w:type="spellEnd"/>
      <w:r>
        <w:t xml:space="preserve"> with which they are associated.</w:t>
      </w:r>
    </w:p>
    <w:p w14:paraId="284B2D79" w14:textId="77777777" w:rsidR="006D300B" w:rsidRDefault="006D300B" w:rsidP="006D300B">
      <w:pPr>
        <w:pStyle w:val="ListParagraph"/>
        <w:numPr>
          <w:ilvl w:val="0"/>
          <w:numId w:val="4"/>
        </w:numPr>
        <w:spacing w:after="0" w:line="300" w:lineRule="auto"/>
      </w:pPr>
      <w:r>
        <w:t>Additional documentation as requested on a case-by-case basis. This information must be provided to MISO within 30 days of the request. MISO may request any of the following:</w:t>
      </w:r>
    </w:p>
    <w:p w14:paraId="671C3806" w14:textId="77777777" w:rsidR="006D300B" w:rsidRDefault="006D300B" w:rsidP="006D300B">
      <w:pPr>
        <w:pStyle w:val="ListParagraph"/>
        <w:numPr>
          <w:ilvl w:val="1"/>
          <w:numId w:val="4"/>
        </w:numPr>
        <w:spacing w:after="0" w:line="300" w:lineRule="auto"/>
      </w:pPr>
      <w:r>
        <w:t>Additional information in support of the above requirements.</w:t>
      </w:r>
    </w:p>
    <w:p w14:paraId="409E1971" w14:textId="77777777" w:rsidR="006D300B" w:rsidRDefault="006D300B" w:rsidP="006D300B">
      <w:pPr>
        <w:pStyle w:val="ListParagraph"/>
        <w:numPr>
          <w:ilvl w:val="1"/>
          <w:numId w:val="4"/>
        </w:numPr>
        <w:spacing w:after="0" w:line="300" w:lineRule="auto"/>
      </w:pPr>
      <w:r>
        <w:t>A detailed description of all load processes being curtailed or excluded from registration.</w:t>
      </w:r>
    </w:p>
    <w:p w14:paraId="0C42E709" w14:textId="77777777" w:rsidR="006D300B" w:rsidRDefault="006D300B" w:rsidP="006D300B">
      <w:pPr>
        <w:pStyle w:val="ListParagraph"/>
        <w:numPr>
          <w:ilvl w:val="1"/>
          <w:numId w:val="4"/>
        </w:numPr>
        <w:spacing w:after="0" w:line="300" w:lineRule="auto"/>
      </w:pPr>
      <w:r>
        <w:t>Contact information of the end-use customer.</w:t>
      </w:r>
    </w:p>
    <w:p w14:paraId="7DA5F5B8" w14:textId="77777777" w:rsidR="006D300B" w:rsidRDefault="006D300B" w:rsidP="006D300B">
      <w:pPr>
        <w:spacing w:after="0" w:line="300" w:lineRule="auto"/>
        <w:rPr>
          <w:b/>
        </w:rPr>
      </w:pPr>
    </w:p>
    <w:p w14:paraId="62D08F8C" w14:textId="77777777" w:rsidR="006D300B" w:rsidRPr="0016214F" w:rsidRDefault="006D300B" w:rsidP="006D300B">
      <w:pPr>
        <w:spacing w:after="0" w:line="300" w:lineRule="auto"/>
        <w:rPr>
          <w:b/>
        </w:rPr>
      </w:pPr>
      <w:r w:rsidRPr="0016214F">
        <w:rPr>
          <w:b/>
        </w:rPr>
        <w:t xml:space="preserve">Submission of </w:t>
      </w:r>
      <w:r>
        <w:rPr>
          <w:b/>
        </w:rPr>
        <w:t>Existing</w:t>
      </w:r>
      <w:r w:rsidRPr="0016214F">
        <w:rPr>
          <w:b/>
        </w:rPr>
        <w:t xml:space="preserve"> D</w:t>
      </w:r>
      <w:r>
        <w:rPr>
          <w:b/>
        </w:rPr>
        <w:t xml:space="preserve">emand </w:t>
      </w:r>
      <w:r w:rsidRPr="0016214F">
        <w:rPr>
          <w:b/>
        </w:rPr>
        <w:t>R</w:t>
      </w:r>
      <w:r>
        <w:rPr>
          <w:b/>
        </w:rPr>
        <w:t>esource</w:t>
      </w:r>
      <w:r w:rsidRPr="0016214F">
        <w:rPr>
          <w:b/>
        </w:rPr>
        <w:t xml:space="preserve"> Registrations</w:t>
      </w:r>
    </w:p>
    <w:p w14:paraId="761FE9DD" w14:textId="77777777" w:rsidR="006D300B" w:rsidRDefault="006D300B" w:rsidP="006D300B">
      <w:pPr>
        <w:spacing w:after="0" w:line="300" w:lineRule="auto"/>
      </w:pPr>
    </w:p>
    <w:p w14:paraId="415BB4BA" w14:textId="77777777" w:rsidR="006D300B" w:rsidRDefault="006D300B" w:rsidP="006D300B">
      <w:pPr>
        <w:spacing w:after="0" w:line="300" w:lineRule="auto"/>
      </w:pPr>
      <w:r>
        <w:lastRenderedPageBreak/>
        <w:t>A Demand Resource must be reviewed annually for accreditation as an LMR. A Market Participant can request renewal of Demand Resource accreditation for subsequent Planning Years through the MECT Registrations screen. Renewal of Demand Resource must be requested by February 1 prior to the Planning Year. MISO will review the renewed Demand Resource registration information for completeness and accuracy and ensure it complies with the qualification requirements for Demand Resource. MISO will endeavor to notify the Market Participant within 15 days after the renewed registration form was submitted regarding whether the Demand Resource has been accredited as an LMR, or whether there are any deficiencies that must be corrected. If the Demand Resource is accredited as an LMR, it will be given a unique name for tracking purposes and made available in MECT for use by the Market Participant during the applicable Planning Year. All rules in this section 4.2.7 Demand Resources also apply to renewed DRs in subsequent Planning Years.</w:t>
      </w:r>
    </w:p>
    <w:p w14:paraId="76311DB5" w14:textId="77777777" w:rsidR="006D300B" w:rsidRDefault="006D300B" w:rsidP="006D300B">
      <w:pPr>
        <w:spacing w:after="0" w:line="300" w:lineRule="auto"/>
      </w:pPr>
      <w:r>
        <w:t>Existing Demand Resources being registered must provide:</w:t>
      </w:r>
    </w:p>
    <w:p w14:paraId="554D964C" w14:textId="77777777" w:rsidR="006D300B" w:rsidRDefault="006D300B" w:rsidP="006D300B">
      <w:pPr>
        <w:pStyle w:val="ListParagraph"/>
        <w:numPr>
          <w:ilvl w:val="0"/>
          <w:numId w:val="5"/>
        </w:numPr>
        <w:spacing w:after="0" w:line="300" w:lineRule="auto"/>
      </w:pPr>
      <w:r>
        <w:t xml:space="preserve">All names the program has been registered under in prior Planning </w:t>
      </w:r>
      <w:proofErr w:type="gramStart"/>
      <w:r>
        <w:t>Years;</w:t>
      </w:r>
      <w:proofErr w:type="gramEnd"/>
    </w:p>
    <w:p w14:paraId="1C8BD108" w14:textId="77777777" w:rsidR="006D300B" w:rsidRDefault="006D300B" w:rsidP="006D300B">
      <w:pPr>
        <w:pStyle w:val="ListParagraph"/>
        <w:numPr>
          <w:ilvl w:val="0"/>
          <w:numId w:val="5"/>
        </w:numPr>
        <w:spacing w:after="0" w:line="300" w:lineRule="auto"/>
      </w:pPr>
      <w:r>
        <w:t xml:space="preserve">If registering an aggregation, identify all components that are new to the </w:t>
      </w:r>
      <w:proofErr w:type="gramStart"/>
      <w:r>
        <w:t>program;</w:t>
      </w:r>
      <w:proofErr w:type="gramEnd"/>
    </w:p>
    <w:p w14:paraId="3ADED734" w14:textId="77777777" w:rsidR="006D300B" w:rsidRDefault="006D300B" w:rsidP="006D300B">
      <w:pPr>
        <w:pStyle w:val="ListParagraph"/>
        <w:numPr>
          <w:ilvl w:val="0"/>
          <w:numId w:val="5"/>
        </w:numPr>
        <w:spacing w:after="0" w:line="300" w:lineRule="auto"/>
      </w:pPr>
      <w:r>
        <w:t xml:space="preserve">If registering an aggregation, identify all components that have been removed from the </w:t>
      </w:r>
      <w:proofErr w:type="gramStart"/>
      <w:r>
        <w:t>program;</w:t>
      </w:r>
      <w:proofErr w:type="gramEnd"/>
    </w:p>
    <w:p w14:paraId="11F2C1AE" w14:textId="77777777" w:rsidR="006D300B" w:rsidRDefault="006D300B" w:rsidP="006D300B">
      <w:pPr>
        <w:pStyle w:val="ListParagraph"/>
        <w:numPr>
          <w:ilvl w:val="0"/>
          <w:numId w:val="5"/>
        </w:numPr>
        <w:spacing w:after="0" w:line="300" w:lineRule="auto"/>
      </w:pPr>
      <w:r>
        <w:t xml:space="preserve">If registering an aggregation, identify all components that have experienced a change in registered capabilities within the </w:t>
      </w:r>
      <w:proofErr w:type="gramStart"/>
      <w:r>
        <w:t>program;</w:t>
      </w:r>
      <w:proofErr w:type="gramEnd"/>
    </w:p>
    <w:p w14:paraId="28FCF73F" w14:textId="77777777" w:rsidR="006D300B" w:rsidRDefault="006D300B" w:rsidP="006D300B">
      <w:pPr>
        <w:pStyle w:val="ListParagraph"/>
        <w:numPr>
          <w:ilvl w:val="0"/>
          <w:numId w:val="5"/>
        </w:numPr>
        <w:spacing w:after="0" w:line="300" w:lineRule="auto"/>
      </w:pPr>
      <w:r>
        <w:t xml:space="preserve">If registering an aggregation and if no new components have been added and no components being registered have experienced a significant change in operations, the resource may qualify to waive the requirements to perform a real power test as specified below. A component may be removed from </w:t>
      </w:r>
      <w:proofErr w:type="gramStart"/>
      <w:r>
        <w:t>an aggregation</w:t>
      </w:r>
      <w:proofErr w:type="gramEnd"/>
      <w:r>
        <w:t xml:space="preserve"> without impacting the ability of a Demand Resource to qualify for the real power test waiver.</w:t>
      </w:r>
    </w:p>
    <w:p w14:paraId="0BA5E6DC" w14:textId="77777777" w:rsidR="006D300B" w:rsidRPr="006C0E34" w:rsidRDefault="006D300B" w:rsidP="006D300B">
      <w:pPr>
        <w:spacing w:after="0" w:line="300" w:lineRule="auto"/>
      </w:pPr>
    </w:p>
    <w:p w14:paraId="76963785" w14:textId="77777777" w:rsidR="006D300B" w:rsidRDefault="006D300B" w:rsidP="006D300B">
      <w:pPr>
        <w:spacing w:after="0" w:line="300" w:lineRule="auto"/>
        <w:rPr>
          <w:b/>
        </w:rPr>
      </w:pPr>
      <w:r w:rsidRPr="006C0E34">
        <w:rPr>
          <w:b/>
        </w:rPr>
        <w:t xml:space="preserve">Submission of </w:t>
      </w:r>
      <w:r>
        <w:rPr>
          <w:b/>
        </w:rPr>
        <w:t>New</w:t>
      </w:r>
      <w:r w:rsidRPr="006C0E34">
        <w:rPr>
          <w:b/>
        </w:rPr>
        <w:t xml:space="preserve"> D</w:t>
      </w:r>
      <w:r>
        <w:rPr>
          <w:b/>
        </w:rPr>
        <w:t xml:space="preserve">emand </w:t>
      </w:r>
      <w:r w:rsidRPr="006C0E34">
        <w:rPr>
          <w:b/>
        </w:rPr>
        <w:t>R</w:t>
      </w:r>
      <w:r>
        <w:rPr>
          <w:b/>
        </w:rPr>
        <w:t>esources</w:t>
      </w:r>
      <w:r w:rsidRPr="006C0E34">
        <w:rPr>
          <w:b/>
        </w:rPr>
        <w:t xml:space="preserve"> Registrations</w:t>
      </w:r>
    </w:p>
    <w:p w14:paraId="7BDCF2F5" w14:textId="77777777" w:rsidR="006D300B" w:rsidRPr="006C0E34" w:rsidRDefault="006D300B" w:rsidP="006D300B">
      <w:pPr>
        <w:spacing w:after="0" w:line="300" w:lineRule="auto"/>
        <w:rPr>
          <w:b/>
        </w:rPr>
      </w:pPr>
    </w:p>
    <w:p w14:paraId="666194C4" w14:textId="77777777" w:rsidR="006D300B" w:rsidRDefault="006D300B" w:rsidP="006D300B">
      <w:pPr>
        <w:spacing w:after="0" w:line="300" w:lineRule="auto"/>
        <w:rPr>
          <w:rFonts w:eastAsiaTheme="minorHAnsi"/>
        </w:rPr>
      </w:pPr>
      <w:r w:rsidRPr="00FC108F">
        <w:rPr>
          <w:rFonts w:eastAsiaTheme="minorHAnsi"/>
        </w:rPr>
        <w:t xml:space="preserve">A </w:t>
      </w:r>
      <w:r>
        <w:rPr>
          <w:rFonts w:eastAsiaTheme="minorHAnsi"/>
        </w:rPr>
        <w:t>Market Participant</w:t>
      </w:r>
      <w:r w:rsidRPr="00FC108F">
        <w:rPr>
          <w:rFonts w:eastAsiaTheme="minorHAnsi"/>
        </w:rPr>
        <w:t xml:space="preserve"> may register</w:t>
      </w:r>
      <w:r>
        <w:rPr>
          <w:rFonts w:eastAsiaTheme="minorHAnsi"/>
        </w:rPr>
        <w:t xml:space="preserve"> a</w:t>
      </w:r>
      <w:r w:rsidRPr="00FC108F">
        <w:rPr>
          <w:rFonts w:eastAsiaTheme="minorHAnsi"/>
        </w:rPr>
        <w:t xml:space="preserve"> new </w:t>
      </w:r>
      <w:r>
        <w:rPr>
          <w:rFonts w:eastAsiaTheme="minorHAnsi"/>
        </w:rPr>
        <w:t>Demand Resource</w:t>
      </w:r>
      <w:r w:rsidRPr="00FC108F">
        <w:rPr>
          <w:rFonts w:eastAsiaTheme="minorHAnsi"/>
        </w:rPr>
        <w:t xml:space="preserve"> via the Registration screen in the MECT by March 1 prior to the Planning Year. To guarantee new Planning Resources can be used in an LSE’s FRAP or RBDC </w:t>
      </w:r>
      <w:proofErr w:type="spellStart"/>
      <w:r w:rsidRPr="00FC108F">
        <w:rPr>
          <w:rFonts w:eastAsiaTheme="minorHAnsi"/>
        </w:rPr>
        <w:t>Opt</w:t>
      </w:r>
      <w:proofErr w:type="spellEnd"/>
      <w:r w:rsidRPr="00FC108F">
        <w:rPr>
          <w:rFonts w:eastAsiaTheme="minorHAnsi"/>
        </w:rPr>
        <w:t xml:space="preserve"> Out, registrations of a </w:t>
      </w:r>
      <w:r>
        <w:rPr>
          <w:rFonts w:eastAsiaTheme="minorHAnsi"/>
        </w:rPr>
        <w:t>Demand Resource</w:t>
      </w:r>
      <w:r w:rsidRPr="00FC108F">
        <w:rPr>
          <w:rFonts w:eastAsiaTheme="minorHAnsi"/>
        </w:rPr>
        <w:t xml:space="preserve"> intended to be used in a FRAP or RBDC </w:t>
      </w:r>
      <w:proofErr w:type="spellStart"/>
      <w:r w:rsidRPr="00FC108F">
        <w:rPr>
          <w:rFonts w:eastAsiaTheme="minorHAnsi"/>
        </w:rPr>
        <w:t>Opt</w:t>
      </w:r>
      <w:proofErr w:type="spellEnd"/>
      <w:r w:rsidRPr="00FC108F">
        <w:rPr>
          <w:rFonts w:eastAsiaTheme="minorHAnsi"/>
        </w:rPr>
        <w:t xml:space="preserve"> Out should be submitted no later than February 15 prior to the Planning Year. The registering entity must be a </w:t>
      </w:r>
      <w:r>
        <w:rPr>
          <w:rFonts w:eastAsiaTheme="minorHAnsi"/>
        </w:rPr>
        <w:t>Market Participant</w:t>
      </w:r>
      <w:r w:rsidRPr="00FC108F">
        <w:rPr>
          <w:rFonts w:eastAsiaTheme="minorHAnsi"/>
        </w:rPr>
        <w:t xml:space="preserve"> prior to registering a </w:t>
      </w:r>
      <w:r>
        <w:rPr>
          <w:rFonts w:eastAsiaTheme="minorHAnsi"/>
        </w:rPr>
        <w:t>Demand Resource</w:t>
      </w:r>
      <w:r w:rsidRPr="00FC108F">
        <w:rPr>
          <w:rFonts w:eastAsiaTheme="minorHAnsi"/>
        </w:rPr>
        <w:t xml:space="preserve">. Any entity that is not a </w:t>
      </w:r>
      <w:r>
        <w:rPr>
          <w:rFonts w:eastAsiaTheme="minorHAnsi"/>
        </w:rPr>
        <w:t>Market Participant</w:t>
      </w:r>
      <w:r w:rsidRPr="00FC108F">
        <w:rPr>
          <w:rFonts w:eastAsiaTheme="minorHAnsi"/>
        </w:rPr>
        <w:t xml:space="preserve">, but desires to register a </w:t>
      </w:r>
      <w:r>
        <w:rPr>
          <w:rFonts w:eastAsiaTheme="minorHAnsi"/>
        </w:rPr>
        <w:t>Demand Resource</w:t>
      </w:r>
      <w:r w:rsidRPr="00FC108F">
        <w:rPr>
          <w:rFonts w:eastAsiaTheme="minorHAnsi"/>
        </w:rPr>
        <w:t xml:space="preserve">, should contact the Customer Registration team at </w:t>
      </w:r>
      <w:hyperlink r:id="rId7" w:history="1">
        <w:r w:rsidRPr="003D036A">
          <w:rPr>
            <w:rStyle w:val="Hyperlink"/>
            <w:rFonts w:eastAsiaTheme="minorHAnsi"/>
          </w:rPr>
          <w:t>MISO Help Center (https://help.misoenergy.org/)</w:t>
        </w:r>
      </w:hyperlink>
      <w:r w:rsidRPr="00FC108F">
        <w:rPr>
          <w:rFonts w:eastAsiaTheme="minorHAnsi"/>
        </w:rPr>
        <w:t xml:space="preserve"> to become a </w:t>
      </w:r>
      <w:r>
        <w:rPr>
          <w:rFonts w:eastAsiaTheme="minorHAnsi"/>
        </w:rPr>
        <w:t>Market Participant</w:t>
      </w:r>
      <w:r w:rsidRPr="00FC108F">
        <w:rPr>
          <w:rFonts w:eastAsiaTheme="minorHAnsi"/>
        </w:rPr>
        <w:t xml:space="preserve">. The </w:t>
      </w:r>
      <w:r>
        <w:rPr>
          <w:rFonts w:eastAsiaTheme="minorHAnsi"/>
        </w:rPr>
        <w:t>Market Participant</w:t>
      </w:r>
      <w:r w:rsidRPr="00FC108F">
        <w:rPr>
          <w:rFonts w:eastAsiaTheme="minorHAnsi"/>
        </w:rPr>
        <w:t xml:space="preserve"> will be required to certify that the registration information is accurate, complete, and that the qualified MWs from the </w:t>
      </w:r>
      <w:r>
        <w:rPr>
          <w:rFonts w:eastAsiaTheme="minorHAnsi"/>
        </w:rPr>
        <w:t>Demand Resource</w:t>
      </w:r>
      <w:r w:rsidRPr="00FC108F">
        <w:rPr>
          <w:rFonts w:eastAsiaTheme="minorHAnsi"/>
        </w:rPr>
        <w:t xml:space="preserve"> are not being registered by another party. Appendix D – Registration of </w:t>
      </w:r>
      <w:r>
        <w:rPr>
          <w:rFonts w:eastAsiaTheme="minorHAnsi"/>
        </w:rPr>
        <w:t>a Demand Resource</w:t>
      </w:r>
      <w:r w:rsidRPr="00FC108F">
        <w:rPr>
          <w:rFonts w:eastAsiaTheme="minorHAnsi"/>
        </w:rPr>
        <w:t xml:space="preserve"> contains the information that must be submitted by a </w:t>
      </w:r>
      <w:r>
        <w:rPr>
          <w:rFonts w:eastAsiaTheme="minorHAnsi"/>
        </w:rPr>
        <w:t>Market Participant</w:t>
      </w:r>
      <w:r w:rsidRPr="00FC108F">
        <w:rPr>
          <w:rFonts w:eastAsiaTheme="minorHAnsi"/>
        </w:rPr>
        <w:t xml:space="preserve"> through the MECT Registrations screen. MISO will review the </w:t>
      </w:r>
      <w:r>
        <w:rPr>
          <w:rFonts w:eastAsiaTheme="minorHAnsi"/>
        </w:rPr>
        <w:t>Demand Resource</w:t>
      </w:r>
      <w:r w:rsidRPr="00FC108F">
        <w:rPr>
          <w:rFonts w:eastAsiaTheme="minorHAnsi"/>
        </w:rPr>
        <w:t xml:space="preserve"> registration information for</w:t>
      </w:r>
      <w:r>
        <w:rPr>
          <w:rFonts w:eastAsiaTheme="minorHAnsi"/>
        </w:rPr>
        <w:t xml:space="preserve"> </w:t>
      </w:r>
      <w:r w:rsidRPr="009878A5">
        <w:rPr>
          <w:rFonts w:eastAsiaTheme="minorHAnsi"/>
        </w:rPr>
        <w:t xml:space="preserve">completeness, accuracy, and ensure it complies with the qualification requirements for </w:t>
      </w:r>
      <w:r>
        <w:rPr>
          <w:rFonts w:eastAsiaTheme="minorHAnsi"/>
        </w:rPr>
        <w:t>Demand Resource</w:t>
      </w:r>
      <w:r w:rsidRPr="009878A5">
        <w:rPr>
          <w:rFonts w:eastAsiaTheme="minorHAnsi"/>
        </w:rPr>
        <w:t xml:space="preserve">. MISO will endeavor to review the registration </w:t>
      </w:r>
      <w:r w:rsidRPr="009878A5">
        <w:rPr>
          <w:rFonts w:eastAsiaTheme="minorHAnsi"/>
        </w:rPr>
        <w:lastRenderedPageBreak/>
        <w:t xml:space="preserve">within 15 days after the registration was submitted to determine whether the </w:t>
      </w:r>
      <w:r>
        <w:rPr>
          <w:rFonts w:eastAsiaTheme="minorHAnsi"/>
        </w:rPr>
        <w:t>Demand Resource</w:t>
      </w:r>
      <w:r w:rsidRPr="009878A5">
        <w:rPr>
          <w:rFonts w:eastAsiaTheme="minorHAnsi"/>
        </w:rPr>
        <w:t xml:space="preserve"> has been accredited as an LMR, or whether there are any deficiencies that must be corrected. If the </w:t>
      </w:r>
      <w:r>
        <w:rPr>
          <w:rFonts w:eastAsiaTheme="minorHAnsi"/>
        </w:rPr>
        <w:t>Demand Resource</w:t>
      </w:r>
      <w:r w:rsidRPr="009878A5">
        <w:rPr>
          <w:rFonts w:eastAsiaTheme="minorHAnsi"/>
        </w:rPr>
        <w:t xml:space="preserve"> is accredited as an LMR, it will be given a unique name for tracking purposes and made available in the MECT screens for use by the </w:t>
      </w:r>
      <w:r>
        <w:rPr>
          <w:rFonts w:eastAsiaTheme="minorHAnsi"/>
        </w:rPr>
        <w:t>Market Participant</w:t>
      </w:r>
      <w:r w:rsidRPr="009878A5">
        <w:rPr>
          <w:rFonts w:eastAsiaTheme="minorHAnsi"/>
        </w:rPr>
        <w:t>.</w:t>
      </w:r>
    </w:p>
    <w:p w14:paraId="48951578" w14:textId="77777777" w:rsidR="006D300B" w:rsidRDefault="006D300B" w:rsidP="006D300B">
      <w:pPr>
        <w:spacing w:after="0" w:line="300" w:lineRule="auto"/>
      </w:pPr>
    </w:p>
    <w:p w14:paraId="1A657683"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r>
        <w:rPr>
          <w:rFonts w:cs="Arial"/>
          <w:sz w:val="24"/>
          <w:szCs w:val="24"/>
        </w:rPr>
        <w:t>Submission of Aggregator of Retail Customers (ARC) Demand Resource Registrations</w:t>
      </w:r>
    </w:p>
    <w:p w14:paraId="418031DE" w14:textId="77777777" w:rsidR="006D300B" w:rsidRPr="00CC4AB5" w:rsidRDefault="006D300B" w:rsidP="006D300B">
      <w:pPr>
        <w:spacing w:after="0" w:line="300" w:lineRule="auto"/>
        <w:rPr>
          <w:rFonts w:eastAsiaTheme="minorHAnsi"/>
        </w:rPr>
      </w:pPr>
      <w:r w:rsidRPr="00CC4AB5">
        <w:rPr>
          <w:rFonts w:eastAsiaTheme="minorHAnsi"/>
        </w:rPr>
        <w:t>The LBA and LSE will verify the following:</w:t>
      </w:r>
    </w:p>
    <w:p w14:paraId="6E05E6EA" w14:textId="77777777" w:rsidR="006D300B" w:rsidRPr="00926AC2" w:rsidRDefault="006D300B" w:rsidP="006D300B">
      <w:pPr>
        <w:pStyle w:val="ListParagraph"/>
        <w:numPr>
          <w:ilvl w:val="0"/>
          <w:numId w:val="8"/>
        </w:numPr>
        <w:spacing w:after="0" w:line="300" w:lineRule="auto"/>
        <w:rPr>
          <w:rFonts w:eastAsiaTheme="minorHAnsi"/>
        </w:rPr>
      </w:pPr>
      <w:r w:rsidRPr="00926AC2">
        <w:rPr>
          <w:rFonts w:eastAsiaTheme="minorHAnsi"/>
        </w:rPr>
        <w:t xml:space="preserve">LBA name </w:t>
      </w:r>
    </w:p>
    <w:p w14:paraId="737893F8" w14:textId="77777777" w:rsidR="006D300B" w:rsidRPr="00CF214C" w:rsidRDefault="006D300B" w:rsidP="006D300B">
      <w:pPr>
        <w:pStyle w:val="ListParagraph"/>
        <w:numPr>
          <w:ilvl w:val="0"/>
          <w:numId w:val="8"/>
        </w:numPr>
        <w:spacing w:after="0" w:line="300" w:lineRule="auto"/>
        <w:rPr>
          <w:rFonts w:eastAsiaTheme="minorHAnsi"/>
        </w:rPr>
      </w:pPr>
      <w:r w:rsidRPr="00CF214C">
        <w:rPr>
          <w:rFonts w:eastAsiaTheme="minorHAnsi"/>
        </w:rPr>
        <w:t xml:space="preserve">LSE name </w:t>
      </w:r>
    </w:p>
    <w:p w14:paraId="73D17FC3" w14:textId="77777777" w:rsidR="006D300B" w:rsidRPr="00CF214C" w:rsidRDefault="006D300B" w:rsidP="006D300B">
      <w:pPr>
        <w:pStyle w:val="ListParagraph"/>
        <w:numPr>
          <w:ilvl w:val="0"/>
          <w:numId w:val="8"/>
        </w:numPr>
        <w:spacing w:after="0" w:line="300" w:lineRule="auto"/>
        <w:rPr>
          <w:rFonts w:eastAsiaTheme="minorHAnsi"/>
        </w:rPr>
      </w:pPr>
      <w:r w:rsidRPr="00CF214C">
        <w:rPr>
          <w:rFonts w:eastAsiaTheme="minorHAnsi"/>
        </w:rPr>
        <w:t xml:space="preserve">RERRA name </w:t>
      </w:r>
    </w:p>
    <w:p w14:paraId="471F409E" w14:textId="77777777" w:rsidR="006D300B" w:rsidRPr="0004636D" w:rsidRDefault="006D300B" w:rsidP="006D300B">
      <w:pPr>
        <w:pStyle w:val="ListParagraph"/>
        <w:numPr>
          <w:ilvl w:val="0"/>
          <w:numId w:val="8"/>
        </w:numPr>
        <w:spacing w:after="0" w:line="300" w:lineRule="auto"/>
        <w:rPr>
          <w:rFonts w:eastAsiaTheme="minorHAnsi"/>
        </w:rPr>
      </w:pPr>
      <w:r w:rsidRPr="0004636D">
        <w:rPr>
          <w:rFonts w:eastAsiaTheme="minorHAnsi"/>
        </w:rPr>
        <w:t xml:space="preserve">CPNode name </w:t>
      </w:r>
    </w:p>
    <w:p w14:paraId="14FED314" w14:textId="77777777" w:rsidR="006D300B" w:rsidRPr="0004636D" w:rsidRDefault="006D300B" w:rsidP="006D300B">
      <w:pPr>
        <w:pStyle w:val="ListParagraph"/>
        <w:numPr>
          <w:ilvl w:val="0"/>
          <w:numId w:val="8"/>
        </w:numPr>
        <w:spacing w:after="0" w:line="300" w:lineRule="auto"/>
        <w:rPr>
          <w:rFonts w:eastAsiaTheme="minorHAnsi"/>
        </w:rPr>
      </w:pPr>
      <w:r w:rsidRPr="0004636D">
        <w:rPr>
          <w:rFonts w:eastAsiaTheme="minorHAnsi"/>
        </w:rPr>
        <w:t xml:space="preserve">End use customer account number </w:t>
      </w:r>
    </w:p>
    <w:p w14:paraId="0EF46C67" w14:textId="77777777" w:rsidR="006D300B" w:rsidRPr="0004636D" w:rsidRDefault="006D300B" w:rsidP="006D300B">
      <w:pPr>
        <w:pStyle w:val="ListParagraph"/>
        <w:numPr>
          <w:ilvl w:val="0"/>
          <w:numId w:val="8"/>
        </w:numPr>
        <w:spacing w:after="0" w:line="300" w:lineRule="auto"/>
        <w:rPr>
          <w:rFonts w:eastAsiaTheme="minorHAnsi"/>
        </w:rPr>
      </w:pPr>
      <w:r w:rsidRPr="0004636D">
        <w:rPr>
          <w:rFonts w:eastAsiaTheme="minorHAnsi"/>
        </w:rPr>
        <w:t xml:space="preserve">Meter identification number(s) </w:t>
      </w:r>
    </w:p>
    <w:p w14:paraId="51EF5F7E" w14:textId="77777777" w:rsidR="006D300B" w:rsidRPr="0004636D" w:rsidRDefault="006D300B" w:rsidP="006D300B">
      <w:pPr>
        <w:pStyle w:val="ListParagraph"/>
        <w:numPr>
          <w:ilvl w:val="0"/>
          <w:numId w:val="8"/>
        </w:numPr>
        <w:spacing w:after="0" w:line="300" w:lineRule="auto"/>
        <w:rPr>
          <w:rFonts w:eastAsiaTheme="minorHAnsi"/>
        </w:rPr>
      </w:pPr>
      <w:r w:rsidRPr="0004636D">
        <w:rPr>
          <w:rFonts w:eastAsiaTheme="minorHAnsi"/>
        </w:rPr>
        <w:t xml:space="preserve">Maximum level of participation (MWs) </w:t>
      </w:r>
    </w:p>
    <w:p w14:paraId="672F47D4" w14:textId="77777777" w:rsidR="006D300B" w:rsidRPr="0004636D" w:rsidRDefault="006D300B" w:rsidP="006D300B">
      <w:pPr>
        <w:pStyle w:val="ListParagraph"/>
        <w:numPr>
          <w:ilvl w:val="1"/>
          <w:numId w:val="3"/>
        </w:numPr>
        <w:spacing w:after="0" w:line="300" w:lineRule="auto"/>
        <w:rPr>
          <w:rFonts w:eastAsiaTheme="minorHAnsi"/>
        </w:rPr>
      </w:pPr>
      <w:r w:rsidRPr="0004636D">
        <w:rPr>
          <w:rFonts w:eastAsiaTheme="minorHAnsi"/>
        </w:rPr>
        <w:t>The maximum level of participation shall be determined for an ARC as set forth below.</w:t>
      </w:r>
    </w:p>
    <w:p w14:paraId="1BE36ECD" w14:textId="77777777" w:rsidR="006D300B" w:rsidRPr="0004636D" w:rsidRDefault="006D300B" w:rsidP="006D300B">
      <w:pPr>
        <w:pStyle w:val="ListParagraph"/>
        <w:numPr>
          <w:ilvl w:val="1"/>
          <w:numId w:val="3"/>
        </w:numPr>
        <w:spacing w:after="0" w:line="300" w:lineRule="auto"/>
        <w:rPr>
          <w:rFonts w:eastAsiaTheme="minorHAnsi"/>
        </w:rPr>
      </w:pPr>
      <w:r w:rsidRPr="0004636D">
        <w:rPr>
          <w:rFonts w:eastAsiaTheme="minorHAnsi"/>
        </w:rPr>
        <w:t>The LSE must provide to MISO verification that the LMR is included in the Load obligation of the LSE as set forth below.</w:t>
      </w:r>
    </w:p>
    <w:p w14:paraId="7F1E7FB1" w14:textId="77777777" w:rsidR="006D300B" w:rsidRPr="0004636D" w:rsidRDefault="006D300B" w:rsidP="006D300B">
      <w:pPr>
        <w:pStyle w:val="ListParagraph"/>
        <w:numPr>
          <w:ilvl w:val="0"/>
          <w:numId w:val="3"/>
        </w:numPr>
        <w:spacing w:after="0" w:line="300" w:lineRule="auto"/>
        <w:rPr>
          <w:rFonts w:eastAsiaTheme="minorHAnsi"/>
        </w:rPr>
      </w:pPr>
      <w:r w:rsidRPr="0004636D">
        <w:rPr>
          <w:rFonts w:eastAsiaTheme="minorHAnsi"/>
        </w:rPr>
        <w:t xml:space="preserve">Address of the assets in the ARC registration. </w:t>
      </w:r>
    </w:p>
    <w:p w14:paraId="5015A59B" w14:textId="77777777" w:rsidR="006D300B" w:rsidRDefault="006D300B" w:rsidP="006D300B">
      <w:pPr>
        <w:spacing w:after="0" w:line="300" w:lineRule="auto"/>
        <w:rPr>
          <w:rFonts w:eastAsiaTheme="minorHAnsi"/>
        </w:rPr>
      </w:pPr>
    </w:p>
    <w:p w14:paraId="697F1255" w14:textId="77777777" w:rsidR="006D300B" w:rsidRDefault="006D300B" w:rsidP="006D300B">
      <w:pPr>
        <w:spacing w:after="0" w:line="300" w:lineRule="auto"/>
        <w:rPr>
          <w:rFonts w:eastAsiaTheme="minorHAnsi"/>
        </w:rPr>
      </w:pPr>
      <w:r w:rsidRPr="001870E2">
        <w:rPr>
          <w:rFonts w:eastAsiaTheme="minorHAnsi"/>
        </w:rPr>
        <w:t xml:space="preserve">If during registration review, the LBA or LSE is identified to be incorrect for assets in a registration, the registration will be rejected. The Market Participant can submit a new registration once the Market Participant has identified the correct LBA or LSE. This will restart the review timeline for MISO, the LBA, the LSE, and RERRA. </w:t>
      </w:r>
    </w:p>
    <w:p w14:paraId="4AEF3DB7" w14:textId="77777777" w:rsidR="006D300B" w:rsidRPr="001870E2" w:rsidRDefault="006D300B" w:rsidP="006D300B">
      <w:pPr>
        <w:spacing w:after="0" w:line="300" w:lineRule="auto"/>
        <w:rPr>
          <w:rFonts w:eastAsiaTheme="minorHAnsi"/>
        </w:rPr>
      </w:pPr>
    </w:p>
    <w:p w14:paraId="571F7277" w14:textId="77777777" w:rsidR="006D300B" w:rsidRDefault="006D300B" w:rsidP="006D300B">
      <w:pPr>
        <w:spacing w:after="0" w:line="300" w:lineRule="auto"/>
        <w:rPr>
          <w:rFonts w:eastAsiaTheme="minorHAnsi"/>
        </w:rPr>
      </w:pPr>
      <w:r w:rsidRPr="001870E2">
        <w:rPr>
          <w:rFonts w:eastAsiaTheme="minorHAnsi"/>
        </w:rPr>
        <w:t>Any modification to the assets during the review will restart the review timeline for MISO, the LBA, the LSE, and RERRA.</w:t>
      </w:r>
    </w:p>
    <w:p w14:paraId="6C772907" w14:textId="77777777" w:rsidR="006D300B" w:rsidRPr="00D13CFC" w:rsidRDefault="006D300B" w:rsidP="006D300B">
      <w:pPr>
        <w:spacing w:after="0" w:line="300" w:lineRule="auto"/>
        <w:rPr>
          <w:rFonts w:eastAsiaTheme="minorHAnsi"/>
        </w:rPr>
      </w:pPr>
    </w:p>
    <w:p w14:paraId="326DDDAA" w14:textId="77777777" w:rsidR="006D300B" w:rsidRPr="00D13CFC" w:rsidRDefault="006D300B" w:rsidP="006D300B">
      <w:pPr>
        <w:spacing w:line="300" w:lineRule="auto"/>
        <w:rPr>
          <w:rFonts w:eastAsiaTheme="majorEastAsia"/>
        </w:rPr>
      </w:pPr>
      <w:r w:rsidRPr="00D13CFC">
        <w:rPr>
          <w:rFonts w:eastAsiaTheme="majorEastAsia"/>
        </w:rPr>
        <w:t xml:space="preserve">Instances where the ARC LMR’s customer changes LSEs: </w:t>
      </w:r>
    </w:p>
    <w:p w14:paraId="3BDDA0CB" w14:textId="77777777" w:rsidR="006D300B" w:rsidRDefault="006D300B" w:rsidP="006D300B">
      <w:pPr>
        <w:pStyle w:val="ListParagraph"/>
        <w:numPr>
          <w:ilvl w:val="0"/>
          <w:numId w:val="6"/>
        </w:numPr>
        <w:spacing w:line="300" w:lineRule="auto"/>
        <w:rPr>
          <w:rFonts w:eastAsiaTheme="majorEastAsia"/>
        </w:rPr>
      </w:pPr>
      <w:r w:rsidRPr="00D13CFC">
        <w:rPr>
          <w:rFonts w:eastAsiaTheme="majorEastAsia"/>
        </w:rPr>
        <w:t xml:space="preserve">The LSE identified by the ARC LMR should be correct at the time of the ARC LMRs registration submitted to the Module E Capacity Tracking (MECT) tool. Otherwise, the ARC LMR Registration will be rejected. </w:t>
      </w:r>
    </w:p>
    <w:p w14:paraId="406E6403" w14:textId="77777777" w:rsidR="006D300B" w:rsidRDefault="006D300B" w:rsidP="006D300B">
      <w:pPr>
        <w:pStyle w:val="ListParagraph"/>
        <w:numPr>
          <w:ilvl w:val="0"/>
          <w:numId w:val="6"/>
        </w:numPr>
        <w:spacing w:line="300" w:lineRule="auto"/>
        <w:rPr>
          <w:rFonts w:eastAsiaTheme="majorEastAsia"/>
        </w:rPr>
      </w:pPr>
      <w:r w:rsidRPr="00D13CFC">
        <w:rPr>
          <w:rFonts w:eastAsiaTheme="majorEastAsia"/>
        </w:rPr>
        <w:t xml:space="preserve">If the ARC LMRs LSE changes during the registration process, the ARC LMR registration can be revised. The date the registration was submitted will be sent along to the LSE for their review. </w:t>
      </w:r>
    </w:p>
    <w:p w14:paraId="65FF9FE1" w14:textId="77777777" w:rsidR="006D300B" w:rsidRDefault="006D300B" w:rsidP="006D300B">
      <w:pPr>
        <w:pStyle w:val="ListParagraph"/>
        <w:numPr>
          <w:ilvl w:val="1"/>
          <w:numId w:val="6"/>
        </w:numPr>
        <w:spacing w:line="300" w:lineRule="auto"/>
        <w:rPr>
          <w:rFonts w:eastAsiaTheme="majorEastAsia"/>
        </w:rPr>
      </w:pPr>
      <w:r w:rsidRPr="00D13CFC">
        <w:rPr>
          <w:rFonts w:eastAsiaTheme="majorEastAsia"/>
        </w:rPr>
        <w:t xml:space="preserve">It is the responsibility of the ARC LMR’s customers and the ARC to identify LSE changes. </w:t>
      </w:r>
    </w:p>
    <w:p w14:paraId="1AA55DF2" w14:textId="77777777" w:rsidR="006D300B" w:rsidRDefault="006D300B" w:rsidP="006D300B">
      <w:pPr>
        <w:pStyle w:val="ListParagraph"/>
        <w:numPr>
          <w:ilvl w:val="1"/>
          <w:numId w:val="6"/>
        </w:numPr>
        <w:spacing w:line="300" w:lineRule="auto"/>
        <w:rPr>
          <w:rFonts w:eastAsiaTheme="majorEastAsia"/>
        </w:rPr>
      </w:pPr>
      <w:r w:rsidRPr="00D13CFC">
        <w:rPr>
          <w:rFonts w:eastAsiaTheme="majorEastAsia"/>
        </w:rPr>
        <w:lastRenderedPageBreak/>
        <w:t xml:space="preserve">It is the responsibility of the ARC LMR to notify MISO, the </w:t>
      </w:r>
      <w:r>
        <w:rPr>
          <w:rFonts w:eastAsiaTheme="majorEastAsia"/>
        </w:rPr>
        <w:t>current</w:t>
      </w:r>
      <w:r w:rsidRPr="00D13CFC">
        <w:rPr>
          <w:rFonts w:eastAsiaTheme="majorEastAsia"/>
        </w:rPr>
        <w:t xml:space="preserve"> LSE, and the new LSE when changes to the ARC LMRs customer’s LSE occur. </w:t>
      </w:r>
    </w:p>
    <w:p w14:paraId="5511D345" w14:textId="77777777" w:rsidR="006D300B" w:rsidRDefault="006D300B" w:rsidP="006D300B">
      <w:pPr>
        <w:spacing w:line="300" w:lineRule="auto"/>
        <w:rPr>
          <w:rFonts w:eastAsiaTheme="majorEastAsia"/>
        </w:rPr>
      </w:pPr>
      <w:r w:rsidRPr="00AA53D3">
        <w:rPr>
          <w:rFonts w:eastAsiaTheme="majorEastAsia"/>
        </w:rPr>
        <w:t>Where more than one ARC submits the same account, both ARCs will be notified of the other’s submission and need to determine among themselves who has the rights to the account. If no decision is reached by March 15, the ARC that submitted the account first will receive credit for the account.</w:t>
      </w:r>
    </w:p>
    <w:p w14:paraId="27E2ED69" w14:textId="77777777" w:rsidR="006D300B" w:rsidRPr="00D94B5A" w:rsidRDefault="006D300B" w:rsidP="006D300B">
      <w:pPr>
        <w:pStyle w:val="ListParagraph"/>
        <w:keepNext/>
        <w:keepLines/>
        <w:spacing w:before="480" w:after="0"/>
        <w:ind w:left="432" w:hanging="432"/>
        <w:contextualSpacing w:val="0"/>
        <w:outlineLvl w:val="0"/>
        <w:rPr>
          <w:rFonts w:eastAsiaTheme="majorEastAsia" w:cstheme="majorBidi"/>
          <w:b/>
          <w:bCs/>
          <w:vanish/>
          <w:color w:val="000000" w:themeColor="text1"/>
          <w:sz w:val="28"/>
          <w:szCs w:val="28"/>
        </w:rPr>
      </w:pPr>
      <w:bookmarkStart w:id="5" w:name="_Toc213958041"/>
      <w:bookmarkEnd w:id="5"/>
    </w:p>
    <w:p w14:paraId="47BAABD6" w14:textId="77777777" w:rsidR="006D300B" w:rsidRPr="00D94B5A" w:rsidRDefault="006D300B" w:rsidP="006D300B">
      <w:pPr>
        <w:pStyle w:val="ListParagraph"/>
        <w:keepNext/>
        <w:keepLines/>
        <w:spacing w:before="480" w:after="0"/>
        <w:ind w:left="432" w:hanging="432"/>
        <w:contextualSpacing w:val="0"/>
        <w:outlineLvl w:val="0"/>
        <w:rPr>
          <w:rFonts w:eastAsiaTheme="majorEastAsia" w:cstheme="majorBidi"/>
          <w:b/>
          <w:bCs/>
          <w:vanish/>
          <w:color w:val="000000" w:themeColor="text1"/>
          <w:sz w:val="28"/>
          <w:szCs w:val="28"/>
        </w:rPr>
      </w:pPr>
      <w:bookmarkStart w:id="6" w:name="_Toc213958042"/>
      <w:bookmarkEnd w:id="6"/>
    </w:p>
    <w:p w14:paraId="5F5F10A6" w14:textId="77777777" w:rsidR="006D300B" w:rsidRPr="00D94B5A" w:rsidRDefault="006D300B" w:rsidP="006D300B">
      <w:pPr>
        <w:pStyle w:val="ListParagraph"/>
        <w:keepNext/>
        <w:keepLines/>
        <w:spacing w:before="480" w:after="0"/>
        <w:ind w:left="432" w:hanging="432"/>
        <w:contextualSpacing w:val="0"/>
        <w:outlineLvl w:val="0"/>
        <w:rPr>
          <w:rFonts w:eastAsiaTheme="majorEastAsia" w:cstheme="majorBidi"/>
          <w:b/>
          <w:bCs/>
          <w:vanish/>
          <w:color w:val="000000" w:themeColor="text1"/>
          <w:sz w:val="28"/>
          <w:szCs w:val="28"/>
        </w:rPr>
      </w:pPr>
      <w:bookmarkStart w:id="7" w:name="_Toc213958043"/>
      <w:bookmarkEnd w:id="7"/>
    </w:p>
    <w:p w14:paraId="5D0E9D53" w14:textId="77777777" w:rsidR="006D300B" w:rsidRPr="00D94B5A" w:rsidRDefault="006D300B" w:rsidP="006D300B">
      <w:pPr>
        <w:pStyle w:val="ListParagraph"/>
        <w:keepNext/>
        <w:keepLines/>
        <w:numPr>
          <w:ilvl w:val="1"/>
          <w:numId w:val="0"/>
        </w:numPr>
        <w:spacing w:before="200" w:after="0"/>
        <w:ind w:left="576" w:hanging="576"/>
        <w:contextualSpacing w:val="0"/>
        <w:outlineLvl w:val="1"/>
        <w:rPr>
          <w:rFonts w:eastAsiaTheme="majorEastAsia" w:cstheme="majorBidi"/>
          <w:b/>
          <w:bCs/>
          <w:vanish/>
          <w:color w:val="000000" w:themeColor="text1"/>
          <w:sz w:val="28"/>
          <w:szCs w:val="26"/>
        </w:rPr>
      </w:pPr>
      <w:bookmarkStart w:id="8" w:name="_Toc213958044"/>
      <w:bookmarkEnd w:id="8"/>
    </w:p>
    <w:p w14:paraId="14B65E02" w14:textId="77777777" w:rsidR="006D300B" w:rsidRPr="00D94B5A" w:rsidRDefault="006D300B" w:rsidP="006D300B">
      <w:pPr>
        <w:pStyle w:val="ListParagraph"/>
        <w:keepNext/>
        <w:keepLines/>
        <w:numPr>
          <w:ilvl w:val="1"/>
          <w:numId w:val="0"/>
        </w:numPr>
        <w:spacing w:before="200" w:after="0"/>
        <w:ind w:left="576" w:hanging="576"/>
        <w:contextualSpacing w:val="0"/>
        <w:outlineLvl w:val="1"/>
        <w:rPr>
          <w:rFonts w:eastAsiaTheme="majorEastAsia" w:cstheme="majorBidi"/>
          <w:b/>
          <w:bCs/>
          <w:vanish/>
          <w:color w:val="000000" w:themeColor="text1"/>
          <w:sz w:val="28"/>
          <w:szCs w:val="26"/>
        </w:rPr>
      </w:pPr>
      <w:bookmarkStart w:id="9" w:name="_Toc213958045"/>
      <w:bookmarkEnd w:id="9"/>
    </w:p>
    <w:p w14:paraId="334138EF" w14:textId="77777777" w:rsidR="006D300B" w:rsidRPr="00D94B5A" w:rsidRDefault="006D300B" w:rsidP="006D300B">
      <w:pPr>
        <w:pStyle w:val="ListParagraph"/>
        <w:keepNext/>
        <w:keepLines/>
        <w:numPr>
          <w:ilvl w:val="2"/>
          <w:numId w:val="0"/>
        </w:numPr>
        <w:spacing w:before="200" w:after="0"/>
        <w:ind w:left="720" w:hanging="720"/>
        <w:contextualSpacing w:val="0"/>
        <w:outlineLvl w:val="2"/>
        <w:rPr>
          <w:rFonts w:eastAsiaTheme="majorEastAsia" w:cstheme="majorBidi"/>
          <w:b/>
          <w:bCs/>
          <w:vanish/>
          <w:color w:val="000000" w:themeColor="text1"/>
          <w:sz w:val="24"/>
        </w:rPr>
      </w:pPr>
      <w:bookmarkStart w:id="10" w:name="_Toc213958046"/>
      <w:bookmarkEnd w:id="10"/>
    </w:p>
    <w:p w14:paraId="68320A3B" w14:textId="77777777" w:rsidR="006D300B" w:rsidRPr="00D94B5A" w:rsidRDefault="006D300B" w:rsidP="006D300B">
      <w:pPr>
        <w:pStyle w:val="ListParagraph"/>
        <w:keepNext/>
        <w:keepLines/>
        <w:numPr>
          <w:ilvl w:val="2"/>
          <w:numId w:val="0"/>
        </w:numPr>
        <w:spacing w:before="200" w:after="0"/>
        <w:ind w:left="720" w:hanging="720"/>
        <w:contextualSpacing w:val="0"/>
        <w:outlineLvl w:val="2"/>
        <w:rPr>
          <w:rFonts w:eastAsiaTheme="majorEastAsia" w:cstheme="majorBidi"/>
          <w:b/>
          <w:bCs/>
          <w:vanish/>
          <w:color w:val="000000" w:themeColor="text1"/>
          <w:sz w:val="24"/>
        </w:rPr>
      </w:pPr>
      <w:bookmarkStart w:id="11" w:name="_Toc213958047"/>
      <w:bookmarkEnd w:id="11"/>
    </w:p>
    <w:p w14:paraId="62BF585E" w14:textId="77777777" w:rsidR="006D300B" w:rsidRPr="00D94B5A" w:rsidRDefault="006D300B" w:rsidP="006D300B">
      <w:pPr>
        <w:pStyle w:val="ListParagraph"/>
        <w:keepNext/>
        <w:keepLines/>
        <w:numPr>
          <w:ilvl w:val="2"/>
          <w:numId w:val="0"/>
        </w:numPr>
        <w:spacing w:before="200" w:after="0"/>
        <w:ind w:left="720" w:hanging="720"/>
        <w:contextualSpacing w:val="0"/>
        <w:outlineLvl w:val="2"/>
        <w:rPr>
          <w:rFonts w:eastAsiaTheme="majorEastAsia" w:cstheme="majorBidi"/>
          <w:b/>
          <w:bCs/>
          <w:vanish/>
          <w:color w:val="000000" w:themeColor="text1"/>
          <w:sz w:val="24"/>
        </w:rPr>
      </w:pPr>
      <w:bookmarkStart w:id="12" w:name="_Toc213958048"/>
      <w:bookmarkEnd w:id="12"/>
    </w:p>
    <w:p w14:paraId="61ADED4E" w14:textId="77777777" w:rsidR="006D300B" w:rsidRPr="00D94B5A" w:rsidRDefault="006D300B" w:rsidP="006D300B">
      <w:pPr>
        <w:pStyle w:val="ListParagraph"/>
        <w:keepNext/>
        <w:keepLines/>
        <w:numPr>
          <w:ilvl w:val="2"/>
          <w:numId w:val="0"/>
        </w:numPr>
        <w:spacing w:before="200" w:after="0"/>
        <w:ind w:left="720" w:hanging="720"/>
        <w:contextualSpacing w:val="0"/>
        <w:outlineLvl w:val="2"/>
        <w:rPr>
          <w:rFonts w:eastAsiaTheme="majorEastAsia" w:cstheme="majorBidi"/>
          <w:b/>
          <w:bCs/>
          <w:vanish/>
          <w:color w:val="000000" w:themeColor="text1"/>
          <w:sz w:val="24"/>
        </w:rPr>
      </w:pPr>
      <w:bookmarkStart w:id="13" w:name="_Toc213958049"/>
      <w:bookmarkEnd w:id="13"/>
    </w:p>
    <w:p w14:paraId="6875BD66" w14:textId="77777777" w:rsidR="006D300B" w:rsidRPr="00D94B5A" w:rsidRDefault="006D300B" w:rsidP="006D300B">
      <w:pPr>
        <w:pStyle w:val="ListParagraph"/>
        <w:keepNext/>
        <w:keepLines/>
        <w:numPr>
          <w:ilvl w:val="2"/>
          <w:numId w:val="0"/>
        </w:numPr>
        <w:spacing w:before="200" w:after="0"/>
        <w:ind w:left="720" w:hanging="720"/>
        <w:contextualSpacing w:val="0"/>
        <w:outlineLvl w:val="2"/>
        <w:rPr>
          <w:rFonts w:eastAsiaTheme="majorEastAsia" w:cstheme="majorBidi"/>
          <w:b/>
          <w:bCs/>
          <w:vanish/>
          <w:color w:val="000000" w:themeColor="text1"/>
          <w:sz w:val="24"/>
        </w:rPr>
      </w:pPr>
      <w:bookmarkStart w:id="14" w:name="_Toc213958050"/>
      <w:bookmarkEnd w:id="14"/>
    </w:p>
    <w:p w14:paraId="07EFD9C2" w14:textId="77777777" w:rsidR="006D300B" w:rsidRPr="00D94B5A" w:rsidRDefault="006D300B" w:rsidP="006D300B">
      <w:pPr>
        <w:pStyle w:val="ListParagraph"/>
        <w:keepNext/>
        <w:keepLines/>
        <w:numPr>
          <w:ilvl w:val="2"/>
          <w:numId w:val="0"/>
        </w:numPr>
        <w:spacing w:before="200" w:after="0"/>
        <w:ind w:left="720" w:hanging="720"/>
        <w:contextualSpacing w:val="0"/>
        <w:outlineLvl w:val="2"/>
        <w:rPr>
          <w:rFonts w:eastAsiaTheme="majorEastAsia" w:cstheme="majorBidi"/>
          <w:b/>
          <w:bCs/>
          <w:vanish/>
          <w:color w:val="000000" w:themeColor="text1"/>
          <w:sz w:val="24"/>
        </w:rPr>
      </w:pPr>
      <w:bookmarkStart w:id="15" w:name="_Toc213958051"/>
      <w:bookmarkEnd w:id="15"/>
    </w:p>
    <w:p w14:paraId="1781A9F1" w14:textId="77777777" w:rsidR="006D300B" w:rsidRPr="00D94B5A" w:rsidRDefault="006D300B" w:rsidP="006D300B">
      <w:pPr>
        <w:pStyle w:val="ListParagraph"/>
        <w:keepNext/>
        <w:keepLines/>
        <w:numPr>
          <w:ilvl w:val="2"/>
          <w:numId w:val="0"/>
        </w:numPr>
        <w:spacing w:before="200" w:after="0"/>
        <w:ind w:left="720" w:hanging="720"/>
        <w:contextualSpacing w:val="0"/>
        <w:outlineLvl w:val="2"/>
        <w:rPr>
          <w:rFonts w:eastAsiaTheme="majorEastAsia" w:cstheme="majorBidi"/>
          <w:b/>
          <w:bCs/>
          <w:vanish/>
          <w:color w:val="000000" w:themeColor="text1"/>
          <w:sz w:val="24"/>
        </w:rPr>
      </w:pPr>
      <w:bookmarkStart w:id="16" w:name="_Toc213958052"/>
      <w:bookmarkEnd w:id="16"/>
    </w:p>
    <w:p w14:paraId="64613A72" w14:textId="77777777" w:rsidR="006D300B" w:rsidRPr="00D94B5A" w:rsidRDefault="006D300B" w:rsidP="006D300B">
      <w:pPr>
        <w:pStyle w:val="ListParagraph"/>
        <w:keepNext/>
        <w:keepLines/>
        <w:numPr>
          <w:ilvl w:val="3"/>
          <w:numId w:val="0"/>
        </w:numPr>
        <w:spacing w:before="200" w:after="0"/>
        <w:ind w:left="864" w:hanging="864"/>
        <w:contextualSpacing w:val="0"/>
        <w:outlineLvl w:val="3"/>
        <w:rPr>
          <w:rFonts w:eastAsiaTheme="majorEastAsia" w:cstheme="majorBidi"/>
          <w:b/>
          <w:bCs/>
          <w:iCs/>
          <w:vanish/>
        </w:rPr>
      </w:pPr>
    </w:p>
    <w:p w14:paraId="010C1497" w14:textId="77777777" w:rsidR="006D300B" w:rsidRPr="00D94B5A" w:rsidRDefault="006D300B" w:rsidP="006D300B">
      <w:pPr>
        <w:pStyle w:val="ListParagraph"/>
        <w:keepNext/>
        <w:keepLines/>
        <w:numPr>
          <w:ilvl w:val="3"/>
          <w:numId w:val="0"/>
        </w:numPr>
        <w:spacing w:before="200" w:after="0"/>
        <w:ind w:left="864" w:hanging="864"/>
        <w:contextualSpacing w:val="0"/>
        <w:outlineLvl w:val="3"/>
        <w:rPr>
          <w:rFonts w:eastAsiaTheme="majorEastAsia" w:cstheme="majorBidi"/>
          <w:b/>
          <w:bCs/>
          <w:iCs/>
          <w:vanish/>
        </w:rPr>
      </w:pPr>
    </w:p>
    <w:p w14:paraId="477E8AEB" w14:textId="77777777" w:rsidR="006D300B" w:rsidRPr="00D94B5A" w:rsidRDefault="006D300B" w:rsidP="006D300B">
      <w:pPr>
        <w:pStyle w:val="ListParagraph"/>
        <w:keepNext/>
        <w:keepLines/>
        <w:numPr>
          <w:ilvl w:val="3"/>
          <w:numId w:val="0"/>
        </w:numPr>
        <w:spacing w:before="200" w:after="0"/>
        <w:ind w:left="864" w:hanging="864"/>
        <w:contextualSpacing w:val="0"/>
        <w:outlineLvl w:val="3"/>
        <w:rPr>
          <w:rFonts w:eastAsiaTheme="majorEastAsia" w:cstheme="majorBidi"/>
          <w:b/>
          <w:bCs/>
          <w:iCs/>
          <w:vanish/>
        </w:rPr>
      </w:pPr>
    </w:p>
    <w:p w14:paraId="5CA43DB3" w14:textId="77777777" w:rsidR="006D300B" w:rsidRPr="00D94B5A" w:rsidRDefault="006D300B" w:rsidP="006D300B">
      <w:pPr>
        <w:pStyle w:val="ListParagraph"/>
        <w:keepNext/>
        <w:keepLines/>
        <w:numPr>
          <w:ilvl w:val="3"/>
          <w:numId w:val="0"/>
        </w:numPr>
        <w:spacing w:before="200" w:after="0"/>
        <w:ind w:left="864" w:hanging="864"/>
        <w:contextualSpacing w:val="0"/>
        <w:outlineLvl w:val="3"/>
        <w:rPr>
          <w:rFonts w:eastAsiaTheme="majorEastAsia" w:cstheme="majorBidi"/>
          <w:b/>
          <w:bCs/>
          <w:iCs/>
          <w:vanish/>
        </w:rPr>
      </w:pPr>
    </w:p>
    <w:p w14:paraId="23DFE9A6" w14:textId="77777777" w:rsidR="006D300B" w:rsidRPr="0016214F" w:rsidRDefault="006D300B" w:rsidP="006D300B">
      <w:pPr>
        <w:pStyle w:val="ListParagraph"/>
        <w:keepNext/>
        <w:keepLines/>
        <w:spacing w:before="200" w:after="0"/>
        <w:outlineLvl w:val="3"/>
        <w:rPr>
          <w:rFonts w:eastAsiaTheme="majorEastAsia"/>
          <w:b/>
          <w:bCs/>
        </w:rPr>
      </w:pPr>
      <w:r w:rsidRPr="0016214F">
        <w:rPr>
          <w:rFonts w:eastAsiaTheme="majorEastAsia"/>
          <w:b/>
          <w:bCs/>
        </w:rPr>
        <w:t>Maximum Level of Registered (MWs) of a Demand Resource Registered by an ARC</w:t>
      </w:r>
    </w:p>
    <w:p w14:paraId="6013552D" w14:textId="77777777" w:rsidR="006D300B" w:rsidRPr="0016214F" w:rsidRDefault="006D300B" w:rsidP="006D300B">
      <w:pPr>
        <w:pStyle w:val="ListParagraph"/>
        <w:spacing w:before="100" w:beforeAutospacing="1" w:after="100" w:afterAutospacing="1"/>
        <w:ind w:left="360"/>
        <w:rPr>
          <w:rFonts w:ascii="Aptos" w:hAnsi="Aptos"/>
          <w:sz w:val="24"/>
        </w:rPr>
      </w:pPr>
    </w:p>
    <w:p w14:paraId="60B79150" w14:textId="77777777" w:rsidR="006D300B" w:rsidRPr="006D300B" w:rsidRDefault="006D300B" w:rsidP="006D300B">
      <w:pPr>
        <w:pStyle w:val="ListParagraph"/>
        <w:numPr>
          <w:ilvl w:val="0"/>
          <w:numId w:val="7"/>
        </w:numPr>
        <w:spacing w:before="100" w:beforeAutospacing="1" w:after="100" w:afterAutospacing="1"/>
        <w:rPr>
          <w:rFonts w:ascii="Aptos" w:hAnsi="Aptos"/>
          <w:color w:val="EE0000"/>
          <w:sz w:val="24"/>
        </w:rPr>
      </w:pPr>
      <w:r w:rsidRPr="006D300B">
        <w:rPr>
          <w:color w:val="EE0000"/>
        </w:rPr>
        <w:t>If a Demand Resource not using the firm service level baseline is registered prior to February 1, the Coincident Peak Demand forecast must include the full tested amount of Demand reduction demonstrated by the ARC and the accreditation of the resource will be to the value tested by the ARC. If the Demand Resource not using the firm service level baseline is registered after February 1, the Demand Resource will be accredited as the lesser of either the Demand Resource’s contribution to Coincident Peak Demand as determined by the LSE or the tested amount of Demand reduction demonstrated by the ARC.</w:t>
      </w:r>
    </w:p>
    <w:p w14:paraId="7D4E8E77" w14:textId="77777777" w:rsidR="006D300B" w:rsidRPr="006D300B" w:rsidRDefault="006D300B" w:rsidP="006D300B">
      <w:pPr>
        <w:pStyle w:val="ListParagraph"/>
        <w:numPr>
          <w:ilvl w:val="0"/>
          <w:numId w:val="7"/>
        </w:numPr>
        <w:spacing w:after="0" w:line="300" w:lineRule="auto"/>
        <w:rPr>
          <w:rFonts w:eastAsiaTheme="minorHAnsi"/>
          <w:color w:val="EE0000"/>
        </w:rPr>
      </w:pPr>
      <w:r w:rsidRPr="00B96DF6">
        <w:rPr>
          <w:rFonts w:eastAsiaTheme="minorHAnsi"/>
        </w:rPr>
        <w:t>For an ARC registering a</w:t>
      </w:r>
      <w:r>
        <w:rPr>
          <w:rFonts w:eastAsiaTheme="minorHAnsi"/>
        </w:rPr>
        <w:t xml:space="preserve"> Demand Resource </w:t>
      </w:r>
      <w:r w:rsidRPr="00B96DF6">
        <w:rPr>
          <w:rFonts w:eastAsiaTheme="minorHAnsi"/>
        </w:rPr>
        <w:t xml:space="preserve">that is using the firm service level baseline, the </w:t>
      </w:r>
      <w:r>
        <w:rPr>
          <w:rFonts w:eastAsiaTheme="minorHAnsi"/>
        </w:rPr>
        <w:t>Demand Resource’s</w:t>
      </w:r>
      <w:r w:rsidRPr="00B96DF6">
        <w:rPr>
          <w:rFonts w:eastAsiaTheme="minorHAnsi"/>
        </w:rPr>
        <w:t xml:space="preserve"> contribution to the Coincident Peak Demand forecast for each Season in the period from September 1 through August 31 prior to the Planning Year shall be equal to the average maximum Demand consumed by the asset in the five-hour window centered at the time of the MISO Coincident Peak, for the five (5) Business Days prior to the Day of the MISO Coincident Peak, the Day of the MISO Coincident Peak, and the five (5) Business Days after the Day of the MISO Coincident Peak, less the firm service level.</w:t>
      </w:r>
      <w:r>
        <w:rPr>
          <w:rFonts w:eastAsiaTheme="minorHAnsi"/>
        </w:rPr>
        <w:t xml:space="preserve"> </w:t>
      </w:r>
      <w:r w:rsidRPr="006D300B">
        <w:rPr>
          <w:rFonts w:eastAsiaTheme="minorHAnsi"/>
          <w:color w:val="EE0000"/>
        </w:rPr>
        <w:t>The example below provides a representation of how the contribution to Coincident Peak Demand is calculated for a Demand Resource using the firm service level baseline being registered by an ARC.</w:t>
      </w:r>
    </w:p>
    <w:p w14:paraId="49BC545B" w14:textId="77777777" w:rsidR="006D300B" w:rsidRDefault="006D300B" w:rsidP="006D300B">
      <w:pPr>
        <w:spacing w:after="0" w:line="300" w:lineRule="auto"/>
        <w:rPr>
          <w:rFonts w:eastAsiaTheme="minorHAnsi"/>
        </w:rPr>
      </w:pPr>
    </w:p>
    <w:p w14:paraId="58FCFAE7" w14:textId="77777777" w:rsidR="006D300B" w:rsidRDefault="006D300B" w:rsidP="006D300B">
      <w:pPr>
        <w:keepNext/>
        <w:spacing w:after="0" w:line="300" w:lineRule="auto"/>
      </w:pPr>
      <w:r w:rsidRPr="00637ED8">
        <w:rPr>
          <w:rFonts w:eastAsiaTheme="minorHAnsi"/>
          <w:noProof/>
        </w:rPr>
        <w:drawing>
          <wp:inline distT="0" distB="0" distL="0" distR="0" wp14:anchorId="4A80211B" wp14:editId="3082F6F4">
            <wp:extent cx="5943600" cy="1111250"/>
            <wp:effectExtent l="0" t="0" r="0" b="0"/>
            <wp:docPr id="7845887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11250"/>
                    </a:xfrm>
                    <a:prstGeom prst="rect">
                      <a:avLst/>
                    </a:prstGeom>
                    <a:noFill/>
                    <a:ln>
                      <a:noFill/>
                    </a:ln>
                  </pic:spPr>
                </pic:pic>
              </a:graphicData>
            </a:graphic>
          </wp:inline>
        </w:drawing>
      </w:r>
    </w:p>
    <w:p w14:paraId="7C325392" w14:textId="77777777" w:rsidR="006D300B" w:rsidRPr="004F4D2B" w:rsidRDefault="006D300B" w:rsidP="006D300B">
      <w:pPr>
        <w:pStyle w:val="Caption"/>
        <w:rPr>
          <w:i/>
          <w:iCs/>
        </w:rPr>
      </w:pPr>
      <w:r w:rsidRPr="004F4D2B">
        <w:t xml:space="preserve">Table </w:t>
      </w:r>
      <w:fldSimple w:instr=" SEQ Table \* ARABIC ">
        <w:r w:rsidRPr="004F4D2B">
          <w:rPr>
            <w:noProof/>
          </w:rPr>
          <w:t>1</w:t>
        </w:r>
      </w:fldSimple>
      <w:r w:rsidRPr="004F4D2B">
        <w:t>. Example of calculation of a Demand Resource using the firm service level load obligation calculation. Numbers measured in MW.</w:t>
      </w:r>
    </w:p>
    <w:p w14:paraId="31BCF835" w14:textId="77777777" w:rsidR="006D300B" w:rsidRPr="00D22344" w:rsidRDefault="006D300B" w:rsidP="006D300B">
      <w:pPr>
        <w:rPr>
          <w:rFonts w:ascii="Lato" w:eastAsiaTheme="minorHAnsi" w:hAnsi="Lato"/>
        </w:rPr>
      </w:pPr>
      <w:r w:rsidRPr="00D22344">
        <w:rPr>
          <w:rFonts w:ascii="Lato" w:eastAsiaTheme="minorHAnsi" w:hAnsi="Lato"/>
        </w:rPr>
        <w:t xml:space="preserve">In Table 1., August 26, </w:t>
      </w:r>
      <w:proofErr w:type="gramStart"/>
      <w:r w:rsidRPr="00D22344">
        <w:rPr>
          <w:rFonts w:ascii="Lato" w:eastAsiaTheme="minorHAnsi" w:hAnsi="Lato"/>
        </w:rPr>
        <w:t>2024</w:t>
      </w:r>
      <w:proofErr w:type="gramEnd"/>
      <w:r w:rsidRPr="00D22344">
        <w:rPr>
          <w:rFonts w:ascii="Lato" w:eastAsiaTheme="minorHAnsi" w:hAnsi="Lato"/>
        </w:rPr>
        <w:t xml:space="preserve"> HE 17 is the</w:t>
      </w:r>
      <w:r>
        <w:rPr>
          <w:rFonts w:ascii="Lato" w:eastAsiaTheme="minorHAnsi" w:hAnsi="Lato"/>
        </w:rPr>
        <w:t xml:space="preserve"> Hour with the</w:t>
      </w:r>
      <w:r w:rsidRPr="00D22344">
        <w:rPr>
          <w:rFonts w:ascii="Lato" w:eastAsiaTheme="minorHAnsi" w:hAnsi="Lato"/>
        </w:rPr>
        <w:t xml:space="preserve"> </w:t>
      </w:r>
      <w:r>
        <w:rPr>
          <w:rFonts w:ascii="Lato" w:eastAsiaTheme="minorHAnsi" w:hAnsi="Lato"/>
        </w:rPr>
        <w:t>Coincident Peak Demand. The five (5) hour window centered on HE 17 is used for the 5 Business Days prior to August 26</w:t>
      </w:r>
      <w:r w:rsidRPr="00D22344">
        <w:rPr>
          <w:rFonts w:ascii="Lato" w:eastAsiaTheme="minorHAnsi" w:hAnsi="Lato"/>
          <w:vertAlign w:val="superscript"/>
        </w:rPr>
        <w:t>th</w:t>
      </w:r>
      <w:r>
        <w:rPr>
          <w:rFonts w:ascii="Lato" w:eastAsiaTheme="minorHAnsi" w:hAnsi="Lato"/>
        </w:rPr>
        <w:t>, the five (5) Business Days after August 26</w:t>
      </w:r>
      <w:r w:rsidRPr="00D22344">
        <w:rPr>
          <w:rFonts w:ascii="Lato" w:eastAsiaTheme="minorHAnsi" w:hAnsi="Lato"/>
          <w:vertAlign w:val="superscript"/>
        </w:rPr>
        <w:t>th</w:t>
      </w:r>
      <w:r>
        <w:rPr>
          <w:rFonts w:ascii="Lato" w:eastAsiaTheme="minorHAnsi" w:hAnsi="Lato"/>
        </w:rPr>
        <w:t>, and August 26</w:t>
      </w:r>
      <w:r w:rsidRPr="00D22344">
        <w:rPr>
          <w:rFonts w:ascii="Lato" w:eastAsiaTheme="minorHAnsi" w:hAnsi="Lato"/>
          <w:vertAlign w:val="superscript"/>
        </w:rPr>
        <w:t>th</w:t>
      </w:r>
      <w:r>
        <w:rPr>
          <w:rFonts w:ascii="Lato" w:eastAsiaTheme="minorHAnsi" w:hAnsi="Lato"/>
        </w:rPr>
        <w:t xml:space="preserve"> itself. ARCs and the LSE should calculate the peak Demand for each 5-hour window on each Day, then average these values to determine the accredited value of the resource, in this case resulting in a value of 116.7 MW.</w:t>
      </w:r>
    </w:p>
    <w:p w14:paraId="398ADFF2"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r w:rsidRPr="006C0E34">
        <w:rPr>
          <w:rFonts w:cs="Arial"/>
          <w:sz w:val="24"/>
          <w:szCs w:val="24"/>
        </w:rPr>
        <w:lastRenderedPageBreak/>
        <w:t>Termination of Demand Resource Accredited as LMR</w:t>
      </w:r>
    </w:p>
    <w:p w14:paraId="1FBE26D3" w14:textId="77777777" w:rsidR="006D300B" w:rsidRPr="006C0E34" w:rsidRDefault="006D300B" w:rsidP="006D300B">
      <w:pPr>
        <w:spacing w:after="0" w:line="300" w:lineRule="auto"/>
      </w:pPr>
      <w:r w:rsidRPr="006C0E34">
        <w:t>Because DRs need to be accredited annually, the “Effective Stop Date” will default to the last day of the applicable Planning Year.</w:t>
      </w:r>
    </w:p>
    <w:p w14:paraId="5CE4334F"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r w:rsidRPr="006C0E34">
        <w:rPr>
          <w:rFonts w:cs="Arial"/>
          <w:sz w:val="24"/>
          <w:szCs w:val="24"/>
        </w:rPr>
        <w:t>Amendments to Accredited DR Registration Data</w:t>
      </w:r>
    </w:p>
    <w:p w14:paraId="3991428E" w14:textId="77777777" w:rsidR="006D300B" w:rsidRPr="006C0E34" w:rsidRDefault="006D300B" w:rsidP="006D300B">
      <w:pPr>
        <w:spacing w:after="0" w:line="300" w:lineRule="auto"/>
      </w:pPr>
      <w:r w:rsidRPr="006C0E34">
        <w:t xml:space="preserve">The Market Participant can amend the registration for a </w:t>
      </w:r>
      <w:r>
        <w:t>Demand Resource</w:t>
      </w:r>
      <w:r w:rsidRPr="006C0E34">
        <w:t xml:space="preserve"> for an existing upcoming Planning Year by providing MISO notification no later than March 1</w:t>
      </w:r>
      <w:r>
        <w:t>,</w:t>
      </w:r>
      <w:r w:rsidRPr="006C0E34">
        <w:t xml:space="preserve"> if the original registration was submitted by February 1.</w:t>
      </w:r>
    </w:p>
    <w:p w14:paraId="14B307CC" w14:textId="77777777" w:rsidR="006D300B" w:rsidRPr="00D544AD" w:rsidRDefault="006D300B" w:rsidP="006D300B">
      <w:pPr>
        <w:spacing w:after="0" w:line="300" w:lineRule="auto"/>
      </w:pPr>
    </w:p>
    <w:p w14:paraId="333ED827" w14:textId="77777777" w:rsidR="006D300B" w:rsidRDefault="006D300B" w:rsidP="006D300B">
      <w:pPr>
        <w:spacing w:after="0" w:line="300" w:lineRule="auto"/>
      </w:pPr>
      <w:r w:rsidRPr="001E4AF3">
        <w:t xml:space="preserve">The </w:t>
      </w:r>
      <w:r>
        <w:t>Market Participant</w:t>
      </w:r>
      <w:r w:rsidRPr="001E4AF3">
        <w:t xml:space="preserve"> may modify any of the non-end date information submitted in the registration, which may affect the </w:t>
      </w:r>
      <w:r>
        <w:t>Demand Resource</w:t>
      </w:r>
      <w:r w:rsidRPr="001E4AF3">
        <w:t>’s qualification, including, but not limited to, a change in operation, number of interruptions, advisory notice period, maximum</w:t>
      </w:r>
      <w:r w:rsidRPr="006C0E34">
        <w:t xml:space="preserve"> duration, or accreditation amount as either an increase or decrease in either its targeted MW level or firm service level.</w:t>
      </w:r>
      <w:r>
        <w:t xml:space="preserve"> The accreditation amount may not be greater than the LMRs contribution to the LSE/EDC’s Coincident Peak Demand forecast if this information is submitted after February 1.</w:t>
      </w:r>
    </w:p>
    <w:p w14:paraId="0CF72F1B"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bookmarkStart w:id="17" w:name="_Toc278895050"/>
      <w:bookmarkStart w:id="18" w:name="_Toc261527596"/>
      <w:bookmarkStart w:id="19" w:name="_Toc274136133"/>
      <w:bookmarkStart w:id="20" w:name="_Toc288831396"/>
      <w:bookmarkStart w:id="21" w:name="_Toc332060298"/>
      <w:r w:rsidRPr="006C0E34">
        <w:rPr>
          <w:rFonts w:cs="Arial"/>
          <w:sz w:val="24"/>
          <w:szCs w:val="24"/>
        </w:rPr>
        <w:t xml:space="preserve">Demand Resources – </w:t>
      </w:r>
      <w:r>
        <w:rPr>
          <w:rFonts w:cs="Arial"/>
          <w:sz w:val="24"/>
          <w:szCs w:val="24"/>
        </w:rPr>
        <w:t>SAC</w:t>
      </w:r>
      <w:r w:rsidRPr="006C0E34">
        <w:rPr>
          <w:rFonts w:cs="Arial"/>
          <w:sz w:val="24"/>
          <w:szCs w:val="24"/>
        </w:rPr>
        <w:t xml:space="preserve"> Determination</w:t>
      </w:r>
      <w:bookmarkEnd w:id="17"/>
      <w:bookmarkEnd w:id="18"/>
      <w:bookmarkEnd w:id="19"/>
      <w:bookmarkEnd w:id="20"/>
      <w:bookmarkEnd w:id="21"/>
    </w:p>
    <w:p w14:paraId="01D6D79C" w14:textId="77777777" w:rsidR="006D300B" w:rsidRDefault="006D300B" w:rsidP="006D300B">
      <w:pPr>
        <w:rPr>
          <w:rFonts w:eastAsiaTheme="majorEastAsia"/>
        </w:rPr>
      </w:pPr>
      <w:r w:rsidRPr="00CF574E">
        <w:rPr>
          <w:rFonts w:eastAsiaTheme="majorEastAsia"/>
        </w:rPr>
        <w:t xml:space="preserve">A Demand Resource will be accredited based upon the type of Measurement and Verification it selects. The maximum accredited amount of a Demand Resource is set forth in Section 69A.4.2 of Module E-1 and a Market Participant may always request accreditation to a lesser amount than provided for in Section 69A.4.2 of Module E-1. </w:t>
      </w:r>
    </w:p>
    <w:p w14:paraId="2A1A2303" w14:textId="77777777" w:rsidR="006D300B" w:rsidRPr="00591AF3" w:rsidRDefault="006D300B" w:rsidP="006D300B">
      <w:pPr>
        <w:pStyle w:val="ListParagraph"/>
        <w:keepNext/>
        <w:keepLines/>
        <w:numPr>
          <w:ilvl w:val="3"/>
          <w:numId w:val="0"/>
        </w:numPr>
        <w:spacing w:before="200" w:after="0"/>
        <w:ind w:left="864" w:hanging="864"/>
        <w:contextualSpacing w:val="0"/>
        <w:outlineLvl w:val="3"/>
        <w:rPr>
          <w:rFonts w:eastAsiaTheme="majorEastAsia" w:cstheme="majorBidi"/>
          <w:b/>
          <w:bCs/>
          <w:iCs/>
          <w:vanish/>
        </w:rPr>
      </w:pPr>
    </w:p>
    <w:p w14:paraId="47BDEB6E" w14:textId="77777777" w:rsidR="006D300B" w:rsidRPr="00591AF3" w:rsidRDefault="006D300B" w:rsidP="006D300B">
      <w:pPr>
        <w:pStyle w:val="ListParagraph"/>
        <w:keepNext/>
        <w:keepLines/>
        <w:numPr>
          <w:ilvl w:val="3"/>
          <w:numId w:val="0"/>
        </w:numPr>
        <w:spacing w:before="200" w:after="0"/>
        <w:ind w:left="864" w:hanging="864"/>
        <w:contextualSpacing w:val="0"/>
        <w:outlineLvl w:val="3"/>
        <w:rPr>
          <w:rFonts w:eastAsiaTheme="majorEastAsia" w:cstheme="majorBidi"/>
          <w:b/>
          <w:bCs/>
          <w:iCs/>
          <w:vanish/>
        </w:rPr>
      </w:pPr>
    </w:p>
    <w:p w14:paraId="5BFDB46D" w14:textId="77777777" w:rsidR="006D300B" w:rsidRPr="00591AF3" w:rsidRDefault="006D300B" w:rsidP="006D300B">
      <w:pPr>
        <w:pStyle w:val="ListParagraph"/>
        <w:keepNext/>
        <w:keepLines/>
        <w:numPr>
          <w:ilvl w:val="3"/>
          <w:numId w:val="0"/>
        </w:numPr>
        <w:spacing w:before="200" w:after="0"/>
        <w:ind w:left="864" w:hanging="864"/>
        <w:contextualSpacing w:val="0"/>
        <w:outlineLvl w:val="3"/>
        <w:rPr>
          <w:rFonts w:eastAsiaTheme="majorEastAsia" w:cstheme="majorBidi"/>
          <w:b/>
          <w:bCs/>
          <w:iCs/>
          <w:vanish/>
        </w:rPr>
      </w:pPr>
    </w:p>
    <w:p w14:paraId="2EFF8ECB" w14:textId="77777777" w:rsidR="006D300B" w:rsidRDefault="006D300B" w:rsidP="006D300B">
      <w:pPr>
        <w:pStyle w:val="Heading5"/>
      </w:pPr>
      <w:r w:rsidRPr="007D6C7C">
        <w:t>Accreditation of Demand Resources not using a Firm Service Level Baseline</w:t>
      </w:r>
    </w:p>
    <w:p w14:paraId="1D15C961" w14:textId="77777777" w:rsidR="006D300B" w:rsidRDefault="006D300B" w:rsidP="006D300B">
      <w:pPr>
        <w:rPr>
          <w:rFonts w:eastAsiaTheme="majorEastAsia"/>
        </w:rPr>
      </w:pPr>
      <w:r>
        <w:rPr>
          <w:rFonts w:eastAsiaTheme="majorEastAsia"/>
        </w:rPr>
        <w:t>A Market Participant registering a Demand Resource not using a firm service level baseline that has performed a real power test may have a maximum accredited amount set equal to the amount of Demand reduction achieved during the real power test. The results of the real power test may be scaled upwards by no more than 25% for temperature sensitive loads to conditions consistent with the MISO Coincident Peak. Documentation must be provided supporting the adjustment that includes:</w:t>
      </w:r>
    </w:p>
    <w:p w14:paraId="67DB5A97" w14:textId="77777777" w:rsidR="006D300B" w:rsidRPr="00C72E02" w:rsidRDefault="006D300B" w:rsidP="006D300B">
      <w:pPr>
        <w:pStyle w:val="ListParagraph"/>
        <w:numPr>
          <w:ilvl w:val="0"/>
          <w:numId w:val="9"/>
        </w:numPr>
        <w:rPr>
          <w:rFonts w:eastAsiaTheme="majorEastAsia"/>
        </w:rPr>
      </w:pPr>
      <w:r w:rsidRPr="00C72E02">
        <w:rPr>
          <w:rFonts w:eastAsiaTheme="majorEastAsia"/>
        </w:rPr>
        <w:t>A detailed description of the temperature sensitive load process.</w:t>
      </w:r>
    </w:p>
    <w:p w14:paraId="652F3037" w14:textId="77777777" w:rsidR="006D300B" w:rsidRPr="00C72E02" w:rsidRDefault="006D300B" w:rsidP="006D300B">
      <w:pPr>
        <w:pStyle w:val="ListParagraph"/>
        <w:numPr>
          <w:ilvl w:val="0"/>
          <w:numId w:val="9"/>
        </w:numPr>
        <w:rPr>
          <w:rFonts w:eastAsiaTheme="majorEastAsia"/>
        </w:rPr>
      </w:pPr>
      <w:r w:rsidRPr="00C72E02">
        <w:rPr>
          <w:rFonts w:eastAsiaTheme="majorEastAsia"/>
        </w:rPr>
        <w:t>Justification for the adjustment, such as a test being performed when it was 95</w:t>
      </w:r>
      <w:r w:rsidRPr="00C72E02">
        <w:rPr>
          <w:rFonts w:eastAsiaTheme="majorEastAsia" w:cs="Arial"/>
        </w:rPr>
        <w:t xml:space="preserve">° F while the Coincident Peak occurred at 103° F. </w:t>
      </w:r>
    </w:p>
    <w:p w14:paraId="5E599442" w14:textId="77777777" w:rsidR="006D300B" w:rsidRPr="00C72E02" w:rsidRDefault="006D300B" w:rsidP="006D300B">
      <w:pPr>
        <w:pStyle w:val="ListParagraph"/>
        <w:numPr>
          <w:ilvl w:val="0"/>
          <w:numId w:val="9"/>
        </w:numPr>
        <w:rPr>
          <w:rFonts w:eastAsiaTheme="majorEastAsia"/>
        </w:rPr>
      </w:pPr>
      <w:r w:rsidRPr="00C72E02">
        <w:rPr>
          <w:rFonts w:eastAsiaTheme="majorEastAsia"/>
        </w:rPr>
        <w:t>An evaluation supporting the increase by the amount requested of the real power test.</w:t>
      </w:r>
    </w:p>
    <w:p w14:paraId="2D997F7F" w14:textId="77777777" w:rsidR="006D300B" w:rsidRPr="006D300B" w:rsidRDefault="006D300B" w:rsidP="006D300B">
      <w:pPr>
        <w:pStyle w:val="ListParagraph"/>
        <w:numPr>
          <w:ilvl w:val="0"/>
          <w:numId w:val="9"/>
        </w:numPr>
        <w:rPr>
          <w:rFonts w:eastAsiaTheme="majorEastAsia"/>
          <w:color w:val="EE0000"/>
        </w:rPr>
      </w:pPr>
      <w:r w:rsidRPr="00C72E02">
        <w:rPr>
          <w:rFonts w:eastAsiaTheme="majorEastAsia"/>
        </w:rPr>
        <w:t xml:space="preserve">MISO may reject the requested increase in accreditation if the requested increase is </w:t>
      </w:r>
      <w:r w:rsidRPr="006D300B">
        <w:rPr>
          <w:rFonts w:eastAsiaTheme="majorEastAsia"/>
          <w:color w:val="EE0000"/>
        </w:rPr>
        <w:t>for reasons not reflective of an adjustment to the Coincident Peak Demand.</w:t>
      </w:r>
    </w:p>
    <w:p w14:paraId="74BCE49B" w14:textId="77777777" w:rsidR="006D300B" w:rsidRPr="00BB0225" w:rsidRDefault="006D300B" w:rsidP="006D300B">
      <w:pPr>
        <w:rPr>
          <w:rFonts w:eastAsiaTheme="majorEastAsia"/>
        </w:rPr>
      </w:pPr>
      <w:r>
        <w:rPr>
          <w:rFonts w:eastAsiaTheme="majorEastAsia"/>
        </w:rPr>
        <w:t>A Market Participant registering a resource comprised of an aggregation of households may increase the registered amount of Demand Reduction by up to 25% if it can provide evidence of an increase in the number of households being registered in the aggregation compared to the number of households existing in the aggregation at the time of the real power test. This adjustment is in addition to the temperature sensitive adjustments specified above. MISO must approve of the adjustment.</w:t>
      </w:r>
    </w:p>
    <w:p w14:paraId="0D9AF45D" w14:textId="77777777" w:rsidR="006D300B" w:rsidRDefault="006D300B" w:rsidP="006D300B">
      <w:pPr>
        <w:rPr>
          <w:rFonts w:eastAsiaTheme="majorEastAsia"/>
        </w:rPr>
      </w:pPr>
      <w:r>
        <w:rPr>
          <w:rFonts w:eastAsiaTheme="majorEastAsia"/>
        </w:rPr>
        <w:lastRenderedPageBreak/>
        <w:t>If a Market Participant waives the requirements to perform a real power test under the provisions set forth in Section 69A.3.5.j.1 or 69A.3.5.j.2, the Demand Resource shall have an accredited amount equal to the amount of Demand reduction achievable as documented by the Market Participant at the time of registration.</w:t>
      </w:r>
    </w:p>
    <w:p w14:paraId="0C9D568D" w14:textId="77777777" w:rsidR="006D300B" w:rsidRPr="0016214F" w:rsidRDefault="006D300B" w:rsidP="006D300B">
      <w:pPr>
        <w:rPr>
          <w:rFonts w:eastAsiaTheme="majorEastAsia"/>
          <w:b/>
          <w:bCs/>
        </w:rPr>
      </w:pPr>
      <w:r>
        <w:rPr>
          <w:rFonts w:eastAsiaTheme="majorEastAsia"/>
          <w:b/>
          <w:bCs/>
        </w:rPr>
        <w:t>Demand Resources using a Firm Service Level Baseline</w:t>
      </w:r>
    </w:p>
    <w:p w14:paraId="0B0E0CA2" w14:textId="77777777" w:rsidR="006D300B" w:rsidRPr="00554FCF" w:rsidRDefault="006D300B" w:rsidP="006D300B">
      <w:pPr>
        <w:rPr>
          <w:rFonts w:eastAsiaTheme="majorEastAsia"/>
        </w:rPr>
      </w:pPr>
      <w:r w:rsidRPr="002B15D4">
        <w:rPr>
          <w:color w:val="000000"/>
        </w:rPr>
        <w:t xml:space="preserve">For a Demand Resource that is using the firm service level baseline, the Seasonal Accredited Capacity will be equal to the </w:t>
      </w:r>
      <w:r>
        <w:rPr>
          <w:color w:val="000000"/>
        </w:rPr>
        <w:t>Demand Resource’s contribution to the</w:t>
      </w:r>
      <w:r w:rsidRPr="002B15D4">
        <w:rPr>
          <w:color w:val="000000"/>
        </w:rPr>
        <w:t xml:space="preserve"> Coincident Peak Demand </w:t>
      </w:r>
      <w:r>
        <w:rPr>
          <w:color w:val="000000"/>
        </w:rPr>
        <w:t xml:space="preserve">of the appropriate LSE/EDC </w:t>
      </w:r>
      <w:r w:rsidRPr="002B15D4">
        <w:rPr>
          <w:color w:val="000000"/>
        </w:rPr>
        <w:t>less the firm service level</w:t>
      </w:r>
      <w:r>
        <w:rPr>
          <w:color w:val="000000"/>
        </w:rPr>
        <w:t>. The Demand Resource’s contribution to the Coincident Peak Demand shall be determined using the appropriate Coincident Peak Demand forecast methodologies for non-ARCs and the procedure set forth in Maximum Level of Participation (MWs) of a Demand Resource registered by an ARC.</w:t>
      </w:r>
    </w:p>
    <w:p w14:paraId="3507592D"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bookmarkStart w:id="22" w:name="_Toc278895051"/>
      <w:bookmarkStart w:id="23" w:name="_Toc261527597"/>
      <w:bookmarkStart w:id="24" w:name="_Toc274136134"/>
      <w:bookmarkStart w:id="25" w:name="_Toc288831397"/>
      <w:bookmarkStart w:id="26" w:name="_Toc332060299"/>
      <w:r w:rsidRPr="006C0E34">
        <w:rPr>
          <w:rFonts w:cs="Arial"/>
          <w:sz w:val="24"/>
          <w:szCs w:val="24"/>
        </w:rPr>
        <w:t>Demand Resource Deliverability</w:t>
      </w:r>
      <w:bookmarkEnd w:id="22"/>
      <w:bookmarkEnd w:id="23"/>
      <w:bookmarkEnd w:id="24"/>
      <w:bookmarkEnd w:id="25"/>
      <w:bookmarkEnd w:id="26"/>
    </w:p>
    <w:p w14:paraId="75F4E145" w14:textId="77777777" w:rsidR="006D300B" w:rsidRPr="001964C5" w:rsidRDefault="006D300B" w:rsidP="006D300B">
      <w:pPr>
        <w:rPr>
          <w:rFonts w:eastAsiaTheme="majorEastAsia"/>
        </w:rPr>
      </w:pPr>
      <w:r w:rsidRPr="001964C5">
        <w:rPr>
          <w:rFonts w:eastAsiaTheme="majorEastAsia"/>
        </w:rPr>
        <w:t xml:space="preserve">The owner of ZRCs converted from Demand Resource may use them as part of a FRAP or RBDC </w:t>
      </w:r>
      <w:proofErr w:type="spellStart"/>
      <w:r w:rsidRPr="001964C5">
        <w:rPr>
          <w:rFonts w:eastAsiaTheme="majorEastAsia"/>
        </w:rPr>
        <w:t>Opt</w:t>
      </w:r>
      <w:proofErr w:type="spellEnd"/>
      <w:r w:rsidRPr="001964C5">
        <w:rPr>
          <w:rFonts w:eastAsiaTheme="majorEastAsia"/>
        </w:rPr>
        <w:t xml:space="preserve"> Out or offer them into the PRA. The Demand Resource ZRCs are considered deliverable regardless of the LRZ where the Demand Resource physically resides.</w:t>
      </w:r>
    </w:p>
    <w:p w14:paraId="4E7310AC"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bookmarkStart w:id="27" w:name="_Toc261527598"/>
      <w:bookmarkStart w:id="28" w:name="_Toc274136135"/>
      <w:bookmarkStart w:id="29" w:name="_Toc288831398"/>
      <w:bookmarkStart w:id="30" w:name="_Toc278895052"/>
      <w:bookmarkStart w:id="31" w:name="_Toc332060300"/>
      <w:r w:rsidRPr="006C0E34">
        <w:rPr>
          <w:rFonts w:cs="Arial"/>
          <w:sz w:val="24"/>
          <w:szCs w:val="24"/>
        </w:rPr>
        <w:t>Measurement and Verification of Demand</w:t>
      </w:r>
      <w:bookmarkEnd w:id="27"/>
      <w:bookmarkEnd w:id="28"/>
      <w:bookmarkEnd w:id="29"/>
      <w:r w:rsidRPr="006C0E34">
        <w:rPr>
          <w:rFonts w:cs="Arial"/>
          <w:sz w:val="24"/>
          <w:szCs w:val="24"/>
        </w:rPr>
        <w:t xml:space="preserve"> Resource</w:t>
      </w:r>
      <w:bookmarkEnd w:id="30"/>
      <w:bookmarkEnd w:id="31"/>
    </w:p>
    <w:p w14:paraId="2F537306" w14:textId="77777777" w:rsidR="006D300B" w:rsidRPr="00C47FBA" w:rsidRDefault="006D300B" w:rsidP="006D300B">
      <w:pPr>
        <w:rPr>
          <w:rFonts w:eastAsiaTheme="majorEastAsia"/>
        </w:rPr>
      </w:pPr>
      <w:r w:rsidRPr="00C47FBA">
        <w:rPr>
          <w:rFonts w:eastAsiaTheme="majorEastAsia"/>
        </w:rPr>
        <w:t>Demand Resource may nominate one Measurement and Verification methodology as defined in Attachment TT for each Demand Resource regardless of its dual-registration status.</w:t>
      </w:r>
    </w:p>
    <w:p w14:paraId="2F706D2B"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r w:rsidRPr="006C0E34">
        <w:rPr>
          <w:rFonts w:cs="Arial"/>
          <w:sz w:val="24"/>
          <w:szCs w:val="24"/>
        </w:rPr>
        <w:t>Demand Resource – Testing Requirements</w:t>
      </w:r>
    </w:p>
    <w:p w14:paraId="0718E91C" w14:textId="77777777" w:rsidR="006D300B" w:rsidRDefault="006D300B" w:rsidP="006D300B">
      <w:pPr>
        <w:rPr>
          <w:rFonts w:eastAsiaTheme="majorEastAsia"/>
        </w:rPr>
      </w:pPr>
      <w:r>
        <w:rPr>
          <w:rFonts w:eastAsiaTheme="majorEastAsia"/>
        </w:rPr>
        <w:t>A Market Participant electing to submit a real power test using data prior to July 15</w:t>
      </w:r>
      <w:r w:rsidRPr="00EC05DB">
        <w:rPr>
          <w:rFonts w:eastAsiaTheme="majorEastAsia"/>
          <w:vertAlign w:val="superscript"/>
        </w:rPr>
        <w:t>th</w:t>
      </w:r>
      <w:r>
        <w:rPr>
          <w:rFonts w:eastAsiaTheme="majorEastAsia"/>
        </w:rPr>
        <w:t xml:space="preserve">, </w:t>
      </w:r>
      <w:proofErr w:type="gramStart"/>
      <w:r>
        <w:rPr>
          <w:rFonts w:eastAsiaTheme="majorEastAsia"/>
        </w:rPr>
        <w:t>2025</w:t>
      </w:r>
      <w:proofErr w:type="gramEnd"/>
      <w:r>
        <w:rPr>
          <w:rFonts w:eastAsiaTheme="majorEastAsia"/>
        </w:rPr>
        <w:t xml:space="preserve"> is subject to all testing parameters in effect in BPM-11 Resource Adequacy – R31. A Market Participant submitting a real power test conducted on or after July 15</w:t>
      </w:r>
      <w:r w:rsidRPr="00EC05DB">
        <w:rPr>
          <w:rFonts w:eastAsiaTheme="majorEastAsia"/>
          <w:vertAlign w:val="superscript"/>
        </w:rPr>
        <w:t>th</w:t>
      </w:r>
      <w:r>
        <w:rPr>
          <w:rFonts w:eastAsiaTheme="majorEastAsia"/>
        </w:rPr>
        <w:t xml:space="preserve">, </w:t>
      </w:r>
      <w:proofErr w:type="gramStart"/>
      <w:r>
        <w:rPr>
          <w:rFonts w:eastAsiaTheme="majorEastAsia"/>
        </w:rPr>
        <w:t>2025</w:t>
      </w:r>
      <w:proofErr w:type="gramEnd"/>
      <w:r>
        <w:rPr>
          <w:rFonts w:eastAsiaTheme="majorEastAsia"/>
        </w:rPr>
        <w:t xml:space="preserve"> is subject to the following provisions.</w:t>
      </w:r>
    </w:p>
    <w:p w14:paraId="61B38C85" w14:textId="77777777" w:rsidR="006D300B" w:rsidRDefault="006D300B" w:rsidP="006D300B">
      <w:pPr>
        <w:rPr>
          <w:rFonts w:eastAsiaTheme="majorEastAsia"/>
        </w:rPr>
      </w:pPr>
      <w:r w:rsidRPr="165ECBA6">
        <w:rPr>
          <w:rFonts w:eastAsiaTheme="majorEastAsia"/>
        </w:rPr>
        <w:t xml:space="preserve">The testing period for a </w:t>
      </w:r>
      <w:r>
        <w:rPr>
          <w:rFonts w:eastAsiaTheme="majorEastAsia"/>
        </w:rPr>
        <w:t>Demand Resource</w:t>
      </w:r>
      <w:r w:rsidRPr="165ECBA6">
        <w:rPr>
          <w:rFonts w:eastAsiaTheme="majorEastAsia"/>
        </w:rPr>
        <w:t xml:space="preserve"> to demonstrate Demand reduction capability begins January 1 in the Year prior to the start of the Planning Year.</w:t>
      </w:r>
      <w:r>
        <w:rPr>
          <w:rStyle w:val="FootnoteReference"/>
          <w:rFonts w:eastAsiaTheme="majorEastAsia"/>
        </w:rPr>
        <w:footnoteReference w:id="1"/>
      </w:r>
      <w:r w:rsidRPr="165ECBA6">
        <w:rPr>
          <w:rFonts w:eastAsiaTheme="majorEastAsia"/>
        </w:rPr>
        <w:t xml:space="preserve"> A real power test may be performed at any time up until registration</w:t>
      </w:r>
      <w:r>
        <w:rPr>
          <w:rFonts w:eastAsiaTheme="majorEastAsia"/>
        </w:rPr>
        <w:t xml:space="preserve"> is submitted</w:t>
      </w:r>
      <w:r w:rsidRPr="165ECBA6">
        <w:rPr>
          <w:rFonts w:eastAsiaTheme="majorEastAsia"/>
        </w:rPr>
        <w:t>, provided the Market Participant can provide meter data demonstrating performance of the real power test. A Market Participant with a resource that has commenced operations prior to March 1 may submit a Demand Response Deferral Notice pursuant to Section 69A.3.5.m of the Tariff and further detailed below in section 4.2.7.1</w:t>
      </w:r>
      <w:r>
        <w:rPr>
          <w:rFonts w:eastAsiaTheme="majorEastAsia"/>
        </w:rPr>
        <w:t>2</w:t>
      </w:r>
      <w:r w:rsidRPr="165ECBA6">
        <w:rPr>
          <w:rFonts w:eastAsiaTheme="majorEastAsia"/>
        </w:rPr>
        <w:t>.</w:t>
      </w:r>
    </w:p>
    <w:p w14:paraId="4022B0BE" w14:textId="77777777" w:rsidR="006D300B" w:rsidRPr="00FC14CD" w:rsidRDefault="006D300B" w:rsidP="006D300B">
      <w:pPr>
        <w:rPr>
          <w:rFonts w:eastAsiaTheme="majorEastAsia"/>
        </w:rPr>
      </w:pPr>
      <w:r>
        <w:rPr>
          <w:rFonts w:eastAsiaTheme="majorEastAsia"/>
        </w:rPr>
        <w:t xml:space="preserve">A Demand Resource </w:t>
      </w:r>
      <w:r w:rsidRPr="00FC14CD">
        <w:rPr>
          <w:rFonts w:eastAsiaTheme="majorEastAsia"/>
        </w:rPr>
        <w:t xml:space="preserve">shall demonstrate seasonal Demand reduction capability for a minimum of </w:t>
      </w:r>
      <w:r>
        <w:rPr>
          <w:rFonts w:eastAsiaTheme="majorEastAsia"/>
        </w:rPr>
        <w:t xml:space="preserve">a </w:t>
      </w:r>
      <w:r w:rsidRPr="00FC14CD">
        <w:rPr>
          <w:rFonts w:eastAsiaTheme="majorEastAsia"/>
        </w:rPr>
        <w:t>1</w:t>
      </w:r>
      <w:r>
        <w:rPr>
          <w:rFonts w:eastAsiaTheme="majorEastAsia"/>
        </w:rPr>
        <w:t>5</w:t>
      </w:r>
      <w:r w:rsidRPr="00FC14CD">
        <w:rPr>
          <w:rFonts w:eastAsiaTheme="majorEastAsia"/>
        </w:rPr>
        <w:t>-</w:t>
      </w:r>
      <w:r>
        <w:rPr>
          <w:rFonts w:eastAsiaTheme="majorEastAsia"/>
        </w:rPr>
        <w:t>minute</w:t>
      </w:r>
      <w:r w:rsidRPr="00FC14CD">
        <w:rPr>
          <w:rFonts w:eastAsiaTheme="majorEastAsia"/>
        </w:rPr>
        <w:t xml:space="preserve"> duration</w:t>
      </w:r>
      <w:r>
        <w:rPr>
          <w:rFonts w:eastAsiaTheme="majorEastAsia"/>
        </w:rPr>
        <w:t xml:space="preserve"> using the guidelines set forth below. A Demand Resource performing a </w:t>
      </w:r>
      <w:r>
        <w:rPr>
          <w:rFonts w:eastAsiaTheme="majorEastAsia"/>
        </w:rPr>
        <w:lastRenderedPageBreak/>
        <w:t xml:space="preserve">real power test does not need to increase load after a test. </w:t>
      </w:r>
      <w:r w:rsidRPr="00FC14CD">
        <w:rPr>
          <w:rFonts w:eastAsiaTheme="majorEastAsia"/>
        </w:rPr>
        <w:t>Results should be submitted in accordance with LMR registration deadlines and attached to the LMR registration.</w:t>
      </w:r>
    </w:p>
    <w:p w14:paraId="0DE34E7B" w14:textId="77777777" w:rsidR="006D300B" w:rsidRDefault="006D300B" w:rsidP="006D300B">
      <w:pPr>
        <w:rPr>
          <w:rFonts w:eastAsiaTheme="majorEastAsia"/>
        </w:rPr>
      </w:pPr>
      <w:r>
        <w:rPr>
          <w:rFonts w:eastAsiaTheme="majorEastAsia"/>
        </w:rPr>
        <w:t>A Market Participant submitting a real power test may identify any interval that demonstrates the required Demand reduction within the registered notification time, even if the shut-down was performed as part of the normal operations of the facility.</w:t>
      </w:r>
    </w:p>
    <w:p w14:paraId="644675E9" w14:textId="77777777" w:rsidR="006D300B" w:rsidRDefault="006D300B" w:rsidP="006D300B">
      <w:pPr>
        <w:spacing w:after="0" w:line="300" w:lineRule="auto"/>
        <w:rPr>
          <w:rFonts w:eastAsiaTheme="majorEastAsia"/>
        </w:rPr>
      </w:pPr>
      <w:r w:rsidRPr="000C626E">
        <w:rPr>
          <w:rFonts w:eastAsiaTheme="majorEastAsia"/>
        </w:rPr>
        <w:t xml:space="preserve">Results </w:t>
      </w:r>
      <w:r>
        <w:rPr>
          <w:rFonts w:eastAsiaTheme="majorEastAsia"/>
        </w:rPr>
        <w:t xml:space="preserve">of a real power test </w:t>
      </w:r>
      <w:r w:rsidRPr="000C626E">
        <w:rPr>
          <w:rFonts w:eastAsiaTheme="majorEastAsia"/>
        </w:rPr>
        <w:t>may be uploaded to the documentation section of the LMR registration in MECT</w:t>
      </w:r>
      <w:r>
        <w:rPr>
          <w:rFonts w:eastAsiaTheme="majorEastAsia"/>
        </w:rPr>
        <w:t xml:space="preserve">. </w:t>
      </w:r>
      <w:r w:rsidRPr="000C626E">
        <w:rPr>
          <w:rFonts w:eastAsiaTheme="majorEastAsia"/>
        </w:rPr>
        <w:t xml:space="preserve">When testing a </w:t>
      </w:r>
      <w:r>
        <w:rPr>
          <w:rFonts w:eastAsiaTheme="majorEastAsia"/>
        </w:rPr>
        <w:t>Demand Resource</w:t>
      </w:r>
      <w:r w:rsidRPr="000C626E">
        <w:rPr>
          <w:rFonts w:eastAsiaTheme="majorEastAsia"/>
        </w:rPr>
        <w:t xml:space="preserve">, accurate availability should be reflected in the DSRI by showing the </w:t>
      </w:r>
      <w:r>
        <w:rPr>
          <w:rFonts w:eastAsiaTheme="majorEastAsia"/>
        </w:rPr>
        <w:t>Demand Resource</w:t>
      </w:r>
      <w:r w:rsidRPr="000C626E">
        <w:rPr>
          <w:rFonts w:eastAsiaTheme="majorEastAsia"/>
        </w:rPr>
        <w:t xml:space="preserve"> as self-scheduled. If a </w:t>
      </w:r>
      <w:r>
        <w:rPr>
          <w:rFonts w:eastAsiaTheme="majorEastAsia"/>
        </w:rPr>
        <w:t>Market Participant</w:t>
      </w:r>
      <w:r w:rsidRPr="000C626E">
        <w:rPr>
          <w:rFonts w:eastAsiaTheme="majorEastAsia"/>
        </w:rPr>
        <w:t xml:space="preserve"> plans to test </w:t>
      </w:r>
      <w:r>
        <w:rPr>
          <w:rFonts w:eastAsiaTheme="majorEastAsia"/>
        </w:rPr>
        <w:t>a Demand Resource</w:t>
      </w:r>
      <w:r w:rsidRPr="000C626E">
        <w:rPr>
          <w:rFonts w:eastAsiaTheme="majorEastAsia"/>
        </w:rPr>
        <w:t xml:space="preserve"> greater than 20 MW, the </w:t>
      </w:r>
      <w:r>
        <w:rPr>
          <w:rFonts w:eastAsiaTheme="majorEastAsia"/>
        </w:rPr>
        <w:t>Market Participant</w:t>
      </w:r>
      <w:r w:rsidRPr="000C626E">
        <w:rPr>
          <w:rFonts w:eastAsiaTheme="majorEastAsia"/>
        </w:rPr>
        <w:t xml:space="preserve"> </w:t>
      </w:r>
      <w:r>
        <w:rPr>
          <w:rFonts w:eastAsiaTheme="majorEastAsia"/>
        </w:rPr>
        <w:t>is requested to</w:t>
      </w:r>
      <w:r w:rsidRPr="000C626E">
        <w:rPr>
          <w:rFonts w:eastAsiaTheme="majorEastAsia"/>
        </w:rPr>
        <w:t xml:space="preserve"> notify MISO operations two (2) Business Days prior to conducting a test by submitting the </w:t>
      </w:r>
      <w:r>
        <w:rPr>
          <w:rFonts w:eastAsiaTheme="majorEastAsia"/>
        </w:rPr>
        <w:t>Demand Resource</w:t>
      </w:r>
      <w:r w:rsidRPr="000C626E">
        <w:rPr>
          <w:rFonts w:eastAsiaTheme="majorEastAsia"/>
        </w:rPr>
        <w:t xml:space="preserve"> Testing Notification Template to the MISO ITOC (ITNOCRequests@misoenergy.org). The </w:t>
      </w:r>
      <w:r>
        <w:rPr>
          <w:rFonts w:eastAsiaTheme="majorEastAsia"/>
        </w:rPr>
        <w:t>Demand Resource</w:t>
      </w:r>
      <w:r w:rsidRPr="000C626E">
        <w:rPr>
          <w:rFonts w:eastAsiaTheme="majorEastAsia"/>
        </w:rPr>
        <w:t xml:space="preserve"> Testing Notification Template should include: (1) LMR name, (2) </w:t>
      </w:r>
      <w:r>
        <w:rPr>
          <w:rFonts w:eastAsiaTheme="majorEastAsia"/>
        </w:rPr>
        <w:t>Market Participant</w:t>
      </w:r>
      <w:r w:rsidRPr="000C626E">
        <w:rPr>
          <w:rFonts w:eastAsiaTheme="majorEastAsia"/>
        </w:rPr>
        <w:t>, (3) Load Zone CP Node, (4) expected MW reduction, (5) expected reduction date and hour(s), (6) notification time, and (7) operator</w:t>
      </w:r>
      <w:r>
        <w:rPr>
          <w:rFonts w:eastAsiaTheme="majorEastAsia"/>
        </w:rPr>
        <w:t xml:space="preserve"> </w:t>
      </w:r>
      <w:r w:rsidRPr="000C626E">
        <w:rPr>
          <w:rFonts w:eastAsiaTheme="majorEastAsia"/>
        </w:rPr>
        <w:t xml:space="preserve">contact information in case MISO Operations has questions. New </w:t>
      </w:r>
      <w:r>
        <w:rPr>
          <w:rFonts w:eastAsiaTheme="majorEastAsia"/>
        </w:rPr>
        <w:t>Demand Resources</w:t>
      </w:r>
      <w:r w:rsidRPr="000C626E">
        <w:rPr>
          <w:rFonts w:eastAsiaTheme="majorEastAsia"/>
        </w:rPr>
        <w:t xml:space="preserve"> and </w:t>
      </w:r>
      <w:r>
        <w:rPr>
          <w:rFonts w:eastAsiaTheme="majorEastAsia"/>
        </w:rPr>
        <w:t>Demand Resources</w:t>
      </w:r>
      <w:r w:rsidRPr="000C626E">
        <w:rPr>
          <w:rFonts w:eastAsiaTheme="majorEastAsia"/>
        </w:rPr>
        <w:t xml:space="preserve"> that did not clear the PRA will not be able to update the DSRI, however, these </w:t>
      </w:r>
      <w:r>
        <w:rPr>
          <w:rFonts w:eastAsiaTheme="majorEastAsia"/>
        </w:rPr>
        <w:t>Demand Resources are requested to</w:t>
      </w:r>
      <w:r w:rsidRPr="000C626E">
        <w:rPr>
          <w:rFonts w:eastAsiaTheme="majorEastAsia"/>
        </w:rPr>
        <w:t xml:space="preserve"> notify MISO by utilizing the </w:t>
      </w:r>
      <w:r>
        <w:rPr>
          <w:rFonts w:eastAsiaTheme="majorEastAsia"/>
        </w:rPr>
        <w:t>Demand Resource</w:t>
      </w:r>
      <w:r w:rsidRPr="000C626E">
        <w:rPr>
          <w:rFonts w:eastAsiaTheme="majorEastAsia"/>
        </w:rPr>
        <w:t xml:space="preserve"> </w:t>
      </w:r>
      <w:proofErr w:type="gramStart"/>
      <w:r w:rsidRPr="000C626E">
        <w:rPr>
          <w:rFonts w:eastAsiaTheme="majorEastAsia"/>
        </w:rPr>
        <w:t>Testing Notification</w:t>
      </w:r>
      <w:proofErr w:type="gramEnd"/>
      <w:r w:rsidRPr="000C626E">
        <w:rPr>
          <w:rFonts w:eastAsiaTheme="majorEastAsia"/>
        </w:rPr>
        <w:t xml:space="preserve"> Template</w:t>
      </w:r>
      <w:r>
        <w:rPr>
          <w:rFonts w:eastAsiaTheme="majorEastAsia"/>
        </w:rPr>
        <w:t xml:space="preserve"> if possible</w:t>
      </w:r>
      <w:r w:rsidRPr="000C626E">
        <w:rPr>
          <w:rFonts w:eastAsiaTheme="majorEastAsia"/>
        </w:rPr>
        <w:t>.</w:t>
      </w:r>
    </w:p>
    <w:p w14:paraId="7E265271" w14:textId="77777777" w:rsidR="006D300B" w:rsidRDefault="006D300B" w:rsidP="006D300B">
      <w:pPr>
        <w:spacing w:after="0" w:line="300" w:lineRule="auto"/>
        <w:rPr>
          <w:rFonts w:eastAsiaTheme="majorEastAsia"/>
        </w:rPr>
      </w:pPr>
    </w:p>
    <w:p w14:paraId="1F35C159" w14:textId="77777777" w:rsidR="006D300B" w:rsidRPr="0077180A" w:rsidRDefault="006D300B" w:rsidP="006D300B">
      <w:pPr>
        <w:spacing w:after="0" w:line="300" w:lineRule="auto"/>
        <w:rPr>
          <w:rFonts w:eastAsiaTheme="majorEastAsia"/>
          <w:b/>
          <w:bCs/>
        </w:rPr>
      </w:pPr>
      <w:r w:rsidRPr="0077180A">
        <w:rPr>
          <w:rFonts w:eastAsiaTheme="majorEastAsia"/>
          <w:b/>
          <w:bCs/>
        </w:rPr>
        <w:t>Test Requirements Specific to Demand Resources not using a Firm Service Level Baseline</w:t>
      </w:r>
    </w:p>
    <w:p w14:paraId="6C473664" w14:textId="77777777" w:rsidR="006D300B" w:rsidRPr="0077180A" w:rsidRDefault="006D300B" w:rsidP="006D300B">
      <w:pPr>
        <w:spacing w:after="0" w:line="300" w:lineRule="auto"/>
        <w:rPr>
          <w:rFonts w:eastAsiaTheme="majorEastAsia"/>
          <w:b/>
          <w:bCs/>
        </w:rPr>
      </w:pPr>
    </w:p>
    <w:p w14:paraId="02FE89FA" w14:textId="77777777" w:rsidR="006D300B" w:rsidRPr="0077180A" w:rsidRDefault="006D300B" w:rsidP="006D300B">
      <w:pPr>
        <w:rPr>
          <w:rFonts w:eastAsiaTheme="majorEastAsia"/>
        </w:rPr>
      </w:pPr>
      <w:r w:rsidRPr="0077180A">
        <w:rPr>
          <w:rFonts w:eastAsiaTheme="majorEastAsia"/>
        </w:rPr>
        <w:t>A Demand Resource that achieves demand reduction by a targeted Demand reduction amount must meet the following requirements:</w:t>
      </w:r>
    </w:p>
    <w:p w14:paraId="79FFE1CE" w14:textId="77777777" w:rsidR="006D300B" w:rsidRPr="0077180A" w:rsidRDefault="006D300B" w:rsidP="006D300B">
      <w:pPr>
        <w:pStyle w:val="ListParagraph"/>
        <w:numPr>
          <w:ilvl w:val="0"/>
          <w:numId w:val="10"/>
        </w:numPr>
        <w:rPr>
          <w:rFonts w:eastAsiaTheme="majorEastAsia"/>
        </w:rPr>
      </w:pPr>
      <w:r w:rsidRPr="0077180A">
        <w:rPr>
          <w:rFonts w:eastAsiaTheme="majorEastAsia"/>
        </w:rPr>
        <w:t xml:space="preserve">For a Demand Resource that is not an aggregation, the Demand reduction achieved must use all equipment that may be curtailed when called during a Scheduling Instruction. There is no requirement that all equipment be </w:t>
      </w:r>
      <w:proofErr w:type="gramStart"/>
      <w:r w:rsidRPr="0077180A">
        <w:rPr>
          <w:rFonts w:eastAsiaTheme="majorEastAsia"/>
        </w:rPr>
        <w:t>operating</w:t>
      </w:r>
      <w:proofErr w:type="gramEnd"/>
      <w:r w:rsidRPr="0077180A">
        <w:rPr>
          <w:rFonts w:eastAsiaTheme="majorEastAsia"/>
        </w:rPr>
        <w:t xml:space="preserve"> when issued a Scheduling Instruction; however, to qualify for capacity payments the real power test must demonstrate that all registered equipment can be curtailed.</w:t>
      </w:r>
    </w:p>
    <w:p w14:paraId="68869F8F" w14:textId="77777777" w:rsidR="006D300B" w:rsidRPr="0077180A" w:rsidRDefault="006D300B" w:rsidP="006D300B">
      <w:pPr>
        <w:pStyle w:val="ListParagraph"/>
        <w:numPr>
          <w:ilvl w:val="0"/>
          <w:numId w:val="10"/>
        </w:numPr>
        <w:rPr>
          <w:rFonts w:eastAsiaTheme="majorEastAsia"/>
        </w:rPr>
      </w:pPr>
      <w:r w:rsidRPr="0077180A">
        <w:rPr>
          <w:rFonts w:eastAsiaTheme="majorEastAsia"/>
        </w:rPr>
        <w:t xml:space="preserve">For a Demand Resource that is part of an aggregation, the Demand reduction must be achieved by the same interval for all resources within the aggregation. </w:t>
      </w:r>
      <w:proofErr w:type="gramStart"/>
      <w:r w:rsidRPr="0077180A">
        <w:rPr>
          <w:rFonts w:eastAsiaTheme="majorEastAsia"/>
        </w:rPr>
        <w:t>The Demand</w:t>
      </w:r>
      <w:proofErr w:type="gramEnd"/>
      <w:r w:rsidRPr="0077180A">
        <w:rPr>
          <w:rFonts w:eastAsiaTheme="majorEastAsia"/>
        </w:rPr>
        <w:t xml:space="preserve"> reduction need not start simultaneously, but all resources within the program must have curtailed load by the same set of intervals used to identify the Demand reduction.</w:t>
      </w:r>
    </w:p>
    <w:p w14:paraId="0FA42E4F" w14:textId="77777777" w:rsidR="006D300B" w:rsidRPr="0077180A" w:rsidRDefault="006D300B" w:rsidP="006D300B">
      <w:pPr>
        <w:pStyle w:val="ListParagraph"/>
        <w:numPr>
          <w:ilvl w:val="1"/>
          <w:numId w:val="10"/>
        </w:numPr>
        <w:rPr>
          <w:rFonts w:eastAsiaTheme="majorEastAsia"/>
        </w:rPr>
      </w:pPr>
      <w:r w:rsidRPr="0077180A">
        <w:rPr>
          <w:rFonts w:eastAsiaTheme="majorEastAsia"/>
        </w:rPr>
        <w:t>Residential programs may satisfy this requirement by curtailing the portion of customers expected to be curtailed in response to a Scheduling Instruction.</w:t>
      </w:r>
    </w:p>
    <w:p w14:paraId="28913BC2" w14:textId="77777777" w:rsidR="006D300B" w:rsidRPr="00294956" w:rsidRDefault="006D300B" w:rsidP="006D300B">
      <w:pPr>
        <w:pStyle w:val="ListParagraph"/>
        <w:numPr>
          <w:ilvl w:val="1"/>
          <w:numId w:val="10"/>
        </w:numPr>
        <w:rPr>
          <w:rFonts w:eastAsiaTheme="majorEastAsia"/>
          <w:color w:val="EE0000"/>
        </w:rPr>
      </w:pPr>
      <w:r w:rsidRPr="00294956">
        <w:rPr>
          <w:rFonts w:eastAsiaTheme="majorEastAsia"/>
          <w:color w:val="EE0000"/>
        </w:rPr>
        <w:t xml:space="preserve">Assets added to an aggregation after a real power test has been performed for a Demand Resource not using the firm service level baseline that is not a residential aggregation cannot contribute to the aggregation’s total registered MW value. Alternatively, the added assets may, if qualified, be required to either: (a) register into a separate aggregation, test simultaneously and receive </w:t>
      </w:r>
      <w:r w:rsidRPr="00294956">
        <w:rPr>
          <w:rFonts w:eastAsiaTheme="majorEastAsia"/>
          <w:color w:val="EE0000"/>
        </w:rPr>
        <w:lastRenderedPageBreak/>
        <w:t>accreditation based on the test results; or (b) register individually and provide a real power test for each individual asset.</w:t>
      </w:r>
    </w:p>
    <w:p w14:paraId="66AE37A6" w14:textId="77777777" w:rsidR="006D300B" w:rsidRPr="00123673" w:rsidRDefault="006D300B" w:rsidP="006D300B">
      <w:pPr>
        <w:pStyle w:val="ListParagraph"/>
        <w:numPr>
          <w:ilvl w:val="0"/>
          <w:numId w:val="10"/>
        </w:numPr>
        <w:rPr>
          <w:rFonts w:eastAsiaTheme="majorEastAsia"/>
        </w:rPr>
      </w:pPr>
      <w:r w:rsidRPr="00123673">
        <w:rPr>
          <w:rFonts w:eastAsiaTheme="majorEastAsia"/>
        </w:rPr>
        <w:t xml:space="preserve">For non-residential programs, </w:t>
      </w:r>
      <w:r>
        <w:rPr>
          <w:rFonts w:eastAsiaTheme="majorEastAsia"/>
        </w:rPr>
        <w:t xml:space="preserve">a Market Participant may select either of the two options below by which </w:t>
      </w:r>
      <w:r w:rsidRPr="00123673">
        <w:rPr>
          <w:rFonts w:eastAsiaTheme="majorEastAsia"/>
        </w:rPr>
        <w:t xml:space="preserve">the </w:t>
      </w:r>
      <w:r>
        <w:rPr>
          <w:rFonts w:eastAsiaTheme="majorEastAsia"/>
        </w:rPr>
        <w:t xml:space="preserve">baseline of the Demand </w:t>
      </w:r>
      <w:r w:rsidRPr="00123673">
        <w:rPr>
          <w:rFonts w:eastAsiaTheme="majorEastAsia"/>
        </w:rPr>
        <w:t>is measured:</w:t>
      </w:r>
    </w:p>
    <w:p w14:paraId="4499C1A8" w14:textId="77777777" w:rsidR="006D300B" w:rsidRPr="00123673" w:rsidRDefault="006D300B" w:rsidP="006D300B">
      <w:pPr>
        <w:pStyle w:val="ListParagraph"/>
        <w:numPr>
          <w:ilvl w:val="1"/>
          <w:numId w:val="10"/>
        </w:numPr>
        <w:rPr>
          <w:rFonts w:eastAsiaTheme="majorEastAsia"/>
        </w:rPr>
      </w:pPr>
      <w:r>
        <w:rPr>
          <w:rFonts w:eastAsiaTheme="majorEastAsia"/>
        </w:rPr>
        <w:t xml:space="preserve">The baseline being </w:t>
      </w:r>
      <w:r w:rsidRPr="00123673">
        <w:rPr>
          <w:rFonts w:eastAsiaTheme="majorEastAsia"/>
        </w:rPr>
        <w:t xml:space="preserve">the Demand at the start of the test period to the interval the reduction is achieved by; </w:t>
      </w:r>
      <w:r>
        <w:rPr>
          <w:rFonts w:eastAsiaTheme="majorEastAsia"/>
        </w:rPr>
        <w:t>or</w:t>
      </w:r>
    </w:p>
    <w:p w14:paraId="59A72884" w14:textId="77777777" w:rsidR="006D300B" w:rsidRPr="00123673" w:rsidRDefault="006D300B" w:rsidP="006D300B">
      <w:pPr>
        <w:pStyle w:val="ListParagraph"/>
        <w:numPr>
          <w:ilvl w:val="1"/>
          <w:numId w:val="10"/>
        </w:numPr>
        <w:rPr>
          <w:rFonts w:eastAsiaTheme="majorEastAsia"/>
        </w:rPr>
      </w:pPr>
      <w:r w:rsidRPr="00123673">
        <w:rPr>
          <w:rFonts w:eastAsiaTheme="majorEastAsia"/>
        </w:rPr>
        <w:t xml:space="preserve">The </w:t>
      </w:r>
      <w:r>
        <w:rPr>
          <w:rFonts w:eastAsiaTheme="majorEastAsia"/>
        </w:rPr>
        <w:t xml:space="preserve">baseline being measured using the </w:t>
      </w:r>
      <w:r w:rsidRPr="00123673">
        <w:rPr>
          <w:rFonts w:eastAsiaTheme="majorEastAsia"/>
        </w:rPr>
        <w:t>appropriate Measurement and Verification methodology will be applied</w:t>
      </w:r>
      <w:r>
        <w:rPr>
          <w:rFonts w:eastAsiaTheme="majorEastAsia"/>
        </w:rPr>
        <w:t>.</w:t>
      </w:r>
    </w:p>
    <w:p w14:paraId="7CCA2BA9" w14:textId="77777777" w:rsidR="006D300B" w:rsidRDefault="006D300B" w:rsidP="006D300B">
      <w:pPr>
        <w:pStyle w:val="ListParagraph"/>
        <w:numPr>
          <w:ilvl w:val="0"/>
          <w:numId w:val="10"/>
        </w:numPr>
        <w:rPr>
          <w:rFonts w:eastAsiaTheme="majorEastAsia"/>
        </w:rPr>
      </w:pPr>
      <w:r>
        <w:rPr>
          <w:rFonts w:eastAsiaTheme="majorEastAsia"/>
        </w:rPr>
        <w:t>For residential programs, the Demand reduction is measured using the registered Measurement and Verification methodology.</w:t>
      </w:r>
    </w:p>
    <w:p w14:paraId="72F9FF2F" w14:textId="77777777" w:rsidR="006D300B" w:rsidRDefault="006D300B" w:rsidP="006D300B">
      <w:pPr>
        <w:keepNext/>
        <w:spacing w:after="0"/>
        <w:ind w:left="60"/>
        <w:jc w:val="center"/>
      </w:pPr>
      <w:r>
        <w:rPr>
          <w:noProof/>
        </w:rPr>
        <w:drawing>
          <wp:inline distT="0" distB="0" distL="0" distR="0" wp14:anchorId="2B48C8EE" wp14:editId="22512795">
            <wp:extent cx="4212392" cy="853440"/>
            <wp:effectExtent l="0" t="0" r="0" b="3810"/>
            <wp:docPr id="1149029379" name="Picture 28"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9379" name="Picture 28" descr="Tab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212392" cy="853440"/>
                    </a:xfrm>
                    <a:prstGeom prst="rect">
                      <a:avLst/>
                    </a:prstGeom>
                    <a:noFill/>
                  </pic:spPr>
                </pic:pic>
              </a:graphicData>
            </a:graphic>
          </wp:inline>
        </w:drawing>
      </w:r>
    </w:p>
    <w:p w14:paraId="7BBF9399" w14:textId="77777777" w:rsidR="006D300B" w:rsidRDefault="006D300B" w:rsidP="006D300B">
      <w:pPr>
        <w:pStyle w:val="Caption"/>
        <w:rPr>
          <w:i/>
          <w:iCs/>
        </w:rPr>
      </w:pPr>
      <w:r w:rsidRPr="00D22344">
        <w:t xml:space="preserve">Table </w:t>
      </w:r>
      <w:fldSimple w:instr=" SEQ Table \* ARABIC ">
        <w:r>
          <w:rPr>
            <w:noProof/>
          </w:rPr>
          <w:t>2</w:t>
        </w:r>
      </w:fldSimple>
      <w:r w:rsidRPr="00D22344">
        <w:t xml:space="preserve">. </w:t>
      </w:r>
      <w:r w:rsidRPr="00F75D29">
        <w:t xml:space="preserve">Example of the accreditation of </w:t>
      </w:r>
      <w:r>
        <w:rPr>
          <w:i/>
          <w:iCs/>
        </w:rPr>
        <w:t>a resource comprised of three assets</w:t>
      </w:r>
      <w:r w:rsidRPr="00F75D29">
        <w:t>, each with different response times, that all achieve the full demand reduction by</w:t>
      </w:r>
      <w:r>
        <w:rPr>
          <w:i/>
          <w:iCs/>
        </w:rPr>
        <w:t xml:space="preserve"> the</w:t>
      </w:r>
      <w:r w:rsidRPr="00F75D29">
        <w:t xml:space="preserve"> 1900</w:t>
      </w:r>
      <w:r>
        <w:rPr>
          <w:i/>
          <w:iCs/>
        </w:rPr>
        <w:t xml:space="preserve"> interval</w:t>
      </w:r>
      <w:r w:rsidRPr="00F75D29">
        <w:t xml:space="preserve">. Here, the aggregated starting point is 23 MW (10 + 7 + 6), while the ending point is 6 MW (2 + 1 + 3) as reflected at 1900 resulting in a total Demand reduction </w:t>
      </w:r>
      <w:r>
        <w:t xml:space="preserve">capability </w:t>
      </w:r>
      <w:r w:rsidRPr="00F75D29">
        <w:t xml:space="preserve">of 17 MW. </w:t>
      </w:r>
      <w:r>
        <w:t>Asset</w:t>
      </w:r>
      <w:r w:rsidRPr="00F75D29">
        <w:t xml:space="preserve"> C reduced to 1 MW at </w:t>
      </w:r>
      <w:proofErr w:type="gramStart"/>
      <w:r w:rsidRPr="00F75D29">
        <w:t>1800,</w:t>
      </w:r>
      <w:proofErr w:type="gramEnd"/>
      <w:r w:rsidRPr="00F75D29">
        <w:t xml:space="preserve"> however this is not included in the Demand reduction achieved as 1900 was the selected test end period. The resource must register with at least four (4) hours notification time to reflect the 1500 starting point for </w:t>
      </w:r>
      <w:r>
        <w:t>Asset</w:t>
      </w:r>
      <w:r w:rsidRPr="00F75D29">
        <w:t xml:space="preserve"> B.</w:t>
      </w:r>
    </w:p>
    <w:p w14:paraId="7F8E5994" w14:textId="77777777" w:rsidR="006D300B" w:rsidRDefault="006D300B" w:rsidP="006D300B">
      <w:pPr>
        <w:spacing w:after="0" w:line="300" w:lineRule="auto"/>
        <w:rPr>
          <w:b/>
          <w:bCs/>
        </w:rPr>
      </w:pPr>
    </w:p>
    <w:p w14:paraId="130F6C7E" w14:textId="77777777" w:rsidR="006D300B" w:rsidRDefault="006D300B" w:rsidP="006D300B">
      <w:pPr>
        <w:spacing w:after="0" w:line="300" w:lineRule="auto"/>
        <w:rPr>
          <w:b/>
          <w:bCs/>
        </w:rPr>
      </w:pPr>
      <w:r w:rsidRPr="0016214F">
        <w:rPr>
          <w:b/>
          <w:bCs/>
        </w:rPr>
        <w:t>Test Requirements for Demand Resources using a Firm Service Level Baseline</w:t>
      </w:r>
    </w:p>
    <w:p w14:paraId="51C1DCA3" w14:textId="77777777" w:rsidR="006D300B" w:rsidRDefault="006D300B" w:rsidP="006D300B">
      <w:pPr>
        <w:spacing w:after="0" w:line="300" w:lineRule="auto"/>
        <w:rPr>
          <w:b/>
          <w:bCs/>
        </w:rPr>
      </w:pPr>
    </w:p>
    <w:p w14:paraId="153A4244" w14:textId="77777777" w:rsidR="006D300B" w:rsidRPr="00077366" w:rsidRDefault="006D300B" w:rsidP="006D300B">
      <w:pPr>
        <w:rPr>
          <w:rFonts w:eastAsiaTheme="majorEastAsia"/>
        </w:rPr>
      </w:pPr>
      <w:r>
        <w:rPr>
          <w:rFonts w:eastAsiaTheme="majorEastAsia"/>
        </w:rPr>
        <w:t>Conceptually, a Demand Resource using the firm service level baseline is required to demonstrate the ability to reduce Demand from any point of Demand consumption to the registered firm service level. This is achieved by meeting one of the following test requirements:</w:t>
      </w:r>
    </w:p>
    <w:p w14:paraId="770CF780" w14:textId="77777777" w:rsidR="006D300B" w:rsidRPr="009D604F" w:rsidRDefault="006D300B" w:rsidP="006D300B">
      <w:pPr>
        <w:pStyle w:val="ListParagraph"/>
        <w:numPr>
          <w:ilvl w:val="0"/>
          <w:numId w:val="12"/>
        </w:numPr>
        <w:rPr>
          <w:rFonts w:eastAsiaTheme="majorEastAsia"/>
        </w:rPr>
      </w:pPr>
      <w:r w:rsidRPr="0071259D">
        <w:rPr>
          <w:rFonts w:eastAsiaTheme="majorEastAsia"/>
        </w:rPr>
        <w:t xml:space="preserve">A test </w:t>
      </w:r>
      <w:proofErr w:type="gramStart"/>
      <w:r w:rsidRPr="0071259D">
        <w:rPr>
          <w:rFonts w:eastAsiaTheme="majorEastAsia"/>
        </w:rPr>
        <w:t>demonstrating</w:t>
      </w:r>
      <w:proofErr w:type="gramEnd"/>
      <w:r w:rsidRPr="0071259D">
        <w:rPr>
          <w:rFonts w:eastAsiaTheme="majorEastAsia"/>
        </w:rPr>
        <w:t xml:space="preserve"> the ability to reduce Demand when starting from a point at the beginning of the test that is at least 80% of the maximum Hourly metered Demand </w:t>
      </w:r>
      <w:r>
        <w:rPr>
          <w:rFonts w:eastAsiaTheme="majorEastAsia"/>
        </w:rPr>
        <w:t xml:space="preserve">in each Season </w:t>
      </w:r>
      <w:r w:rsidRPr="0071259D">
        <w:rPr>
          <w:rFonts w:eastAsiaTheme="majorEastAsia"/>
        </w:rPr>
        <w:t xml:space="preserve">and ending at a point at or below the </w:t>
      </w:r>
      <w:r>
        <w:rPr>
          <w:rFonts w:eastAsiaTheme="majorEastAsia"/>
        </w:rPr>
        <w:t>Firm Service Level</w:t>
      </w:r>
      <w:r w:rsidRPr="0071259D">
        <w:rPr>
          <w:rFonts w:eastAsiaTheme="majorEastAsia"/>
        </w:rPr>
        <w:t>. When determining the</w:t>
      </w:r>
      <w:r>
        <w:rPr>
          <w:rFonts w:eastAsiaTheme="majorEastAsia"/>
        </w:rPr>
        <w:t xml:space="preserve"> seasonal</w:t>
      </w:r>
      <w:r w:rsidRPr="0071259D">
        <w:rPr>
          <w:rFonts w:eastAsiaTheme="majorEastAsia"/>
        </w:rPr>
        <w:t xml:space="preserve"> maximum hourly Demand consumed to verify the real power test data submitted by a Market Participant, </w:t>
      </w:r>
      <w:r>
        <w:rPr>
          <w:rFonts w:eastAsiaTheme="majorEastAsia"/>
        </w:rPr>
        <w:t>MISO</w:t>
      </w:r>
      <w:r w:rsidRPr="0071259D">
        <w:rPr>
          <w:rFonts w:eastAsiaTheme="majorEastAsia"/>
        </w:rPr>
        <w:t xml:space="preserve"> will exclude Hours with Demand that is at least two (2) standard deviations above the mean Demand consumed in a Season.</w:t>
      </w:r>
      <w:r>
        <w:rPr>
          <w:rStyle w:val="FootnoteReference"/>
          <w:rFonts w:eastAsiaTheme="majorEastAsia"/>
        </w:rPr>
        <w:footnoteReference w:id="2"/>
      </w:r>
      <w:r w:rsidRPr="0071259D">
        <w:rPr>
          <w:rFonts w:eastAsiaTheme="majorEastAsia"/>
        </w:rPr>
        <w:t>; or</w:t>
      </w:r>
    </w:p>
    <w:p w14:paraId="477FF0AC" w14:textId="77777777" w:rsidR="006D300B" w:rsidRPr="0071259D" w:rsidRDefault="006D300B" w:rsidP="006D300B">
      <w:pPr>
        <w:pStyle w:val="ListParagraph"/>
        <w:numPr>
          <w:ilvl w:val="0"/>
          <w:numId w:val="12"/>
        </w:numPr>
        <w:rPr>
          <w:rFonts w:eastAsiaTheme="majorEastAsia"/>
        </w:rPr>
      </w:pPr>
      <w:r w:rsidRPr="0071259D">
        <w:rPr>
          <w:rFonts w:eastAsiaTheme="majorEastAsia"/>
        </w:rPr>
        <w:t xml:space="preserve">A test </w:t>
      </w:r>
      <w:proofErr w:type="gramStart"/>
      <w:r w:rsidRPr="0071259D">
        <w:rPr>
          <w:rFonts w:eastAsiaTheme="majorEastAsia"/>
        </w:rPr>
        <w:t>demonstrating</w:t>
      </w:r>
      <w:proofErr w:type="gramEnd"/>
      <w:r w:rsidRPr="0071259D">
        <w:rPr>
          <w:rFonts w:eastAsiaTheme="majorEastAsia"/>
        </w:rPr>
        <w:t xml:space="preserve"> the ability to reduce Demand when starting from a point at least as great as the maximum Demand consumed during expected Resource Adequacy Hours</w:t>
      </w:r>
      <w:r>
        <w:rPr>
          <w:rFonts w:eastAsiaTheme="majorEastAsia"/>
        </w:rPr>
        <w:t xml:space="preserve"> </w:t>
      </w:r>
      <w:r w:rsidRPr="0071259D">
        <w:rPr>
          <w:rFonts w:eastAsiaTheme="majorEastAsia"/>
        </w:rPr>
        <w:t>and ending at a point at or below the firm service level.</w:t>
      </w:r>
    </w:p>
    <w:p w14:paraId="1240C40A" w14:textId="77777777" w:rsidR="006D300B" w:rsidRPr="0071259D" w:rsidRDefault="006D300B" w:rsidP="006D300B">
      <w:pPr>
        <w:pStyle w:val="ListParagraph"/>
        <w:numPr>
          <w:ilvl w:val="1"/>
          <w:numId w:val="12"/>
        </w:numPr>
        <w:rPr>
          <w:rFonts w:eastAsiaTheme="majorEastAsia"/>
        </w:rPr>
      </w:pPr>
      <w:r w:rsidRPr="0071259D">
        <w:rPr>
          <w:rFonts w:eastAsiaTheme="majorEastAsia"/>
        </w:rPr>
        <w:t>For example, if the load process consumes 80 MW between 9pm and 5am daily and 30 MW otherwise but can achieve a firm service level of 10 MW, then the resource may test from any point greater than 30 MW to satisfy this requirement, provided the resource never consumes more than 30 MW between 5am and 9pm.</w:t>
      </w:r>
    </w:p>
    <w:p w14:paraId="59AD6708" w14:textId="77777777" w:rsidR="006D300B" w:rsidRDefault="006D300B" w:rsidP="006D300B">
      <w:pPr>
        <w:rPr>
          <w:rFonts w:eastAsiaTheme="majorEastAsia"/>
        </w:rPr>
      </w:pPr>
      <w:r w:rsidRPr="00F77D74">
        <w:rPr>
          <w:rFonts w:eastAsiaTheme="majorEastAsia"/>
        </w:rPr>
        <w:t xml:space="preserve">Expected Resource Adequacy Hours are determined </w:t>
      </w:r>
      <w:r>
        <w:rPr>
          <w:rFonts w:eastAsiaTheme="majorEastAsia"/>
        </w:rPr>
        <w:t>as</w:t>
      </w:r>
      <w:r w:rsidRPr="00F77D74">
        <w:rPr>
          <w:rFonts w:eastAsiaTheme="majorEastAsia"/>
        </w:rPr>
        <w:t xml:space="preserve"> each Hour of the Day that has experienced at least 5% of the total Resource Adequacy Hours from the three (3) Planning </w:t>
      </w:r>
      <w:r w:rsidRPr="00F77D74">
        <w:rPr>
          <w:rFonts w:eastAsiaTheme="majorEastAsia"/>
        </w:rPr>
        <w:lastRenderedPageBreak/>
        <w:t>Years in a Season for which all Seasons have assigned Resource Adequacy Hours. For the 2026 / 2027 PY these are determined from 2021/2022 PY, 2022/2023 PY, and 2023/2024 PY.</w:t>
      </w:r>
    </w:p>
    <w:tbl>
      <w:tblPr>
        <w:tblW w:w="2880" w:type="dxa"/>
        <w:jc w:val="center"/>
        <w:tblLook w:val="04A0" w:firstRow="1" w:lastRow="0" w:firstColumn="1" w:lastColumn="0" w:noHBand="0" w:noVBand="1"/>
      </w:tblPr>
      <w:tblGrid>
        <w:gridCol w:w="1021"/>
        <w:gridCol w:w="960"/>
        <w:gridCol w:w="960"/>
      </w:tblGrid>
      <w:tr w:rsidR="006D300B" w:rsidRPr="00785A9C" w14:paraId="2640E931" w14:textId="77777777" w:rsidTr="0016214F">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6C568EF8" w14:textId="77777777" w:rsidR="006D300B" w:rsidRPr="00785A9C" w:rsidRDefault="006D300B" w:rsidP="0016214F">
            <w:pPr>
              <w:spacing w:after="0" w:line="240" w:lineRule="auto"/>
              <w:jc w:val="center"/>
              <w:rPr>
                <w:rFonts w:ascii="Lato" w:hAnsi="Lato"/>
                <w:color w:val="FFFFFF"/>
                <w:szCs w:val="22"/>
              </w:rPr>
            </w:pPr>
            <w:r w:rsidRPr="00785A9C">
              <w:rPr>
                <w:rFonts w:ascii="Lato" w:hAnsi="Lato"/>
                <w:color w:val="FFFFFF"/>
                <w:szCs w:val="22"/>
              </w:rPr>
              <w:t> </w:t>
            </w:r>
          </w:p>
        </w:tc>
        <w:tc>
          <w:tcPr>
            <w:tcW w:w="960" w:type="dxa"/>
            <w:tcBorders>
              <w:top w:val="single" w:sz="4" w:space="0" w:color="auto"/>
              <w:left w:val="nil"/>
              <w:bottom w:val="single" w:sz="4" w:space="0" w:color="auto"/>
              <w:right w:val="single" w:sz="4" w:space="0" w:color="auto"/>
            </w:tcBorders>
            <w:shd w:val="clear" w:color="000000" w:fill="0070C0"/>
            <w:noWrap/>
            <w:vAlign w:val="center"/>
            <w:hideMark/>
          </w:tcPr>
          <w:p w14:paraId="4FB7C3F8" w14:textId="77777777" w:rsidR="006D300B" w:rsidRPr="00785A9C" w:rsidRDefault="006D300B" w:rsidP="0016214F">
            <w:pPr>
              <w:spacing w:after="0" w:line="240" w:lineRule="auto"/>
              <w:jc w:val="center"/>
              <w:rPr>
                <w:rFonts w:ascii="Lato" w:hAnsi="Lato"/>
                <w:color w:val="FFFFFF"/>
                <w:szCs w:val="22"/>
              </w:rPr>
            </w:pPr>
            <w:r w:rsidRPr="00785A9C">
              <w:rPr>
                <w:rFonts w:ascii="Lato" w:hAnsi="Lato"/>
                <w:color w:val="FFFFFF"/>
                <w:szCs w:val="22"/>
              </w:rPr>
              <w:t>Start</w:t>
            </w:r>
          </w:p>
        </w:tc>
        <w:tc>
          <w:tcPr>
            <w:tcW w:w="960" w:type="dxa"/>
            <w:tcBorders>
              <w:top w:val="single" w:sz="4" w:space="0" w:color="auto"/>
              <w:left w:val="nil"/>
              <w:bottom w:val="single" w:sz="4" w:space="0" w:color="auto"/>
              <w:right w:val="single" w:sz="4" w:space="0" w:color="auto"/>
            </w:tcBorders>
            <w:shd w:val="clear" w:color="000000" w:fill="0070C0"/>
            <w:noWrap/>
            <w:vAlign w:val="center"/>
            <w:hideMark/>
          </w:tcPr>
          <w:p w14:paraId="57E5CEF1" w14:textId="77777777" w:rsidR="006D300B" w:rsidRPr="00785A9C" w:rsidRDefault="006D300B" w:rsidP="0016214F">
            <w:pPr>
              <w:spacing w:after="0" w:line="240" w:lineRule="auto"/>
              <w:jc w:val="center"/>
              <w:rPr>
                <w:rFonts w:ascii="Lato" w:hAnsi="Lato"/>
                <w:color w:val="FFFFFF"/>
                <w:szCs w:val="22"/>
              </w:rPr>
            </w:pPr>
            <w:r w:rsidRPr="00785A9C">
              <w:rPr>
                <w:rFonts w:ascii="Lato" w:hAnsi="Lato"/>
                <w:color w:val="FFFFFF"/>
                <w:szCs w:val="22"/>
              </w:rPr>
              <w:t>Stop</w:t>
            </w:r>
          </w:p>
        </w:tc>
      </w:tr>
      <w:tr w:rsidR="006D300B" w:rsidRPr="00785A9C" w14:paraId="4777573C" w14:textId="77777777" w:rsidTr="0016214F">
        <w:trPr>
          <w:trHeight w:val="288"/>
          <w:jc w:val="center"/>
        </w:trPr>
        <w:tc>
          <w:tcPr>
            <w:tcW w:w="960" w:type="dxa"/>
            <w:tcBorders>
              <w:top w:val="nil"/>
              <w:left w:val="single" w:sz="4" w:space="0" w:color="auto"/>
              <w:bottom w:val="single" w:sz="4" w:space="0" w:color="auto"/>
              <w:right w:val="single" w:sz="4" w:space="0" w:color="auto"/>
            </w:tcBorders>
            <w:shd w:val="clear" w:color="000000" w:fill="0070C0"/>
            <w:noWrap/>
            <w:vAlign w:val="center"/>
            <w:hideMark/>
          </w:tcPr>
          <w:p w14:paraId="233EB706" w14:textId="77777777" w:rsidR="006D300B" w:rsidRPr="00785A9C" w:rsidRDefault="006D300B" w:rsidP="0016214F">
            <w:pPr>
              <w:spacing w:after="0" w:line="240" w:lineRule="auto"/>
              <w:jc w:val="center"/>
              <w:rPr>
                <w:rFonts w:ascii="Lato" w:hAnsi="Lato"/>
                <w:color w:val="FFFFFF"/>
                <w:szCs w:val="22"/>
              </w:rPr>
            </w:pPr>
            <w:r w:rsidRPr="00785A9C">
              <w:rPr>
                <w:rFonts w:ascii="Lato" w:hAnsi="Lato"/>
                <w:color w:val="FFFFFF"/>
                <w:szCs w:val="22"/>
              </w:rPr>
              <w:t>Summer</w:t>
            </w:r>
          </w:p>
        </w:tc>
        <w:tc>
          <w:tcPr>
            <w:tcW w:w="960" w:type="dxa"/>
            <w:tcBorders>
              <w:top w:val="nil"/>
              <w:left w:val="nil"/>
              <w:bottom w:val="single" w:sz="4" w:space="0" w:color="auto"/>
              <w:right w:val="single" w:sz="4" w:space="0" w:color="auto"/>
            </w:tcBorders>
            <w:noWrap/>
            <w:vAlign w:val="center"/>
            <w:hideMark/>
          </w:tcPr>
          <w:p w14:paraId="380019D4" w14:textId="77777777" w:rsidR="006D300B" w:rsidRPr="00785A9C" w:rsidRDefault="006D300B" w:rsidP="0016214F">
            <w:pPr>
              <w:spacing w:after="0" w:line="240" w:lineRule="auto"/>
              <w:jc w:val="center"/>
              <w:rPr>
                <w:rFonts w:ascii="Lato" w:hAnsi="Lato"/>
                <w:color w:val="000000"/>
                <w:szCs w:val="22"/>
              </w:rPr>
            </w:pPr>
            <w:r w:rsidRPr="00785A9C">
              <w:rPr>
                <w:rFonts w:ascii="Lato" w:hAnsi="Lato"/>
                <w:color w:val="000000"/>
                <w:szCs w:val="22"/>
              </w:rPr>
              <w:t>HE 14</w:t>
            </w:r>
          </w:p>
        </w:tc>
        <w:tc>
          <w:tcPr>
            <w:tcW w:w="960" w:type="dxa"/>
            <w:tcBorders>
              <w:top w:val="nil"/>
              <w:left w:val="nil"/>
              <w:bottom w:val="single" w:sz="4" w:space="0" w:color="auto"/>
              <w:right w:val="single" w:sz="4" w:space="0" w:color="auto"/>
            </w:tcBorders>
            <w:noWrap/>
            <w:vAlign w:val="center"/>
            <w:hideMark/>
          </w:tcPr>
          <w:p w14:paraId="76EB99C7" w14:textId="77777777" w:rsidR="006D300B" w:rsidRPr="00785A9C" w:rsidRDefault="006D300B" w:rsidP="0016214F">
            <w:pPr>
              <w:spacing w:after="0" w:line="240" w:lineRule="auto"/>
              <w:jc w:val="center"/>
              <w:rPr>
                <w:rFonts w:ascii="Lato" w:hAnsi="Lato"/>
                <w:color w:val="000000"/>
                <w:szCs w:val="22"/>
              </w:rPr>
            </w:pPr>
            <w:r w:rsidRPr="00785A9C">
              <w:rPr>
                <w:rFonts w:ascii="Lato" w:hAnsi="Lato"/>
                <w:color w:val="000000"/>
                <w:szCs w:val="22"/>
              </w:rPr>
              <w:t>HE 20</w:t>
            </w:r>
          </w:p>
        </w:tc>
      </w:tr>
      <w:tr w:rsidR="006D300B" w:rsidRPr="00785A9C" w14:paraId="0315F7B8" w14:textId="77777777" w:rsidTr="0016214F">
        <w:trPr>
          <w:trHeight w:val="288"/>
          <w:jc w:val="center"/>
        </w:trPr>
        <w:tc>
          <w:tcPr>
            <w:tcW w:w="960" w:type="dxa"/>
            <w:tcBorders>
              <w:top w:val="nil"/>
              <w:left w:val="single" w:sz="4" w:space="0" w:color="auto"/>
              <w:bottom w:val="single" w:sz="4" w:space="0" w:color="auto"/>
              <w:right w:val="single" w:sz="4" w:space="0" w:color="auto"/>
            </w:tcBorders>
            <w:shd w:val="clear" w:color="000000" w:fill="0070C0"/>
            <w:noWrap/>
            <w:vAlign w:val="center"/>
            <w:hideMark/>
          </w:tcPr>
          <w:p w14:paraId="485A8106" w14:textId="77777777" w:rsidR="006D300B" w:rsidRPr="00785A9C" w:rsidRDefault="006D300B" w:rsidP="0016214F">
            <w:pPr>
              <w:spacing w:after="0" w:line="240" w:lineRule="auto"/>
              <w:jc w:val="center"/>
              <w:rPr>
                <w:rFonts w:ascii="Lato" w:hAnsi="Lato"/>
                <w:color w:val="FFFFFF"/>
                <w:szCs w:val="22"/>
              </w:rPr>
            </w:pPr>
            <w:r w:rsidRPr="00785A9C">
              <w:rPr>
                <w:rFonts w:ascii="Lato" w:hAnsi="Lato"/>
                <w:color w:val="FFFFFF"/>
                <w:szCs w:val="22"/>
              </w:rPr>
              <w:t>Fall</w:t>
            </w:r>
          </w:p>
        </w:tc>
        <w:tc>
          <w:tcPr>
            <w:tcW w:w="960" w:type="dxa"/>
            <w:tcBorders>
              <w:top w:val="nil"/>
              <w:left w:val="nil"/>
              <w:bottom w:val="single" w:sz="4" w:space="0" w:color="auto"/>
              <w:right w:val="single" w:sz="4" w:space="0" w:color="auto"/>
            </w:tcBorders>
            <w:noWrap/>
            <w:vAlign w:val="center"/>
            <w:hideMark/>
          </w:tcPr>
          <w:p w14:paraId="5314900E" w14:textId="77777777" w:rsidR="006D300B" w:rsidRPr="00785A9C" w:rsidRDefault="006D300B" w:rsidP="0016214F">
            <w:pPr>
              <w:spacing w:after="0" w:line="240" w:lineRule="auto"/>
              <w:jc w:val="center"/>
              <w:rPr>
                <w:rFonts w:ascii="Lato" w:hAnsi="Lato"/>
                <w:color w:val="000000"/>
                <w:szCs w:val="22"/>
              </w:rPr>
            </w:pPr>
            <w:r w:rsidRPr="00785A9C">
              <w:rPr>
                <w:rFonts w:ascii="Lato" w:hAnsi="Lato"/>
                <w:color w:val="000000"/>
                <w:szCs w:val="22"/>
              </w:rPr>
              <w:t>HE 14</w:t>
            </w:r>
          </w:p>
        </w:tc>
        <w:tc>
          <w:tcPr>
            <w:tcW w:w="960" w:type="dxa"/>
            <w:tcBorders>
              <w:top w:val="nil"/>
              <w:left w:val="nil"/>
              <w:bottom w:val="single" w:sz="4" w:space="0" w:color="auto"/>
              <w:right w:val="single" w:sz="4" w:space="0" w:color="auto"/>
            </w:tcBorders>
            <w:noWrap/>
            <w:vAlign w:val="center"/>
            <w:hideMark/>
          </w:tcPr>
          <w:p w14:paraId="56E750DC" w14:textId="77777777" w:rsidR="006D300B" w:rsidRPr="00785A9C" w:rsidRDefault="006D300B" w:rsidP="0016214F">
            <w:pPr>
              <w:spacing w:after="0" w:line="240" w:lineRule="auto"/>
              <w:jc w:val="center"/>
              <w:rPr>
                <w:rFonts w:ascii="Lato" w:hAnsi="Lato"/>
                <w:color w:val="000000"/>
                <w:szCs w:val="22"/>
              </w:rPr>
            </w:pPr>
            <w:r w:rsidRPr="00785A9C">
              <w:rPr>
                <w:rFonts w:ascii="Lato" w:hAnsi="Lato"/>
                <w:color w:val="000000"/>
                <w:szCs w:val="22"/>
              </w:rPr>
              <w:t>HE 20</w:t>
            </w:r>
          </w:p>
        </w:tc>
      </w:tr>
      <w:tr w:rsidR="006D300B" w:rsidRPr="00785A9C" w14:paraId="6E72EB2E" w14:textId="77777777" w:rsidTr="0016214F">
        <w:trPr>
          <w:trHeight w:val="288"/>
          <w:jc w:val="center"/>
        </w:trPr>
        <w:tc>
          <w:tcPr>
            <w:tcW w:w="960" w:type="dxa"/>
            <w:vMerge w:val="restart"/>
            <w:tcBorders>
              <w:top w:val="nil"/>
              <w:left w:val="single" w:sz="4" w:space="0" w:color="auto"/>
              <w:bottom w:val="single" w:sz="4" w:space="0" w:color="auto"/>
              <w:right w:val="single" w:sz="4" w:space="0" w:color="auto"/>
            </w:tcBorders>
            <w:shd w:val="clear" w:color="000000" w:fill="0070C0"/>
            <w:noWrap/>
            <w:vAlign w:val="center"/>
            <w:hideMark/>
          </w:tcPr>
          <w:p w14:paraId="7CCD019E" w14:textId="77777777" w:rsidR="006D300B" w:rsidRPr="00785A9C" w:rsidRDefault="006D300B" w:rsidP="0016214F">
            <w:pPr>
              <w:spacing w:after="0" w:line="240" w:lineRule="auto"/>
              <w:jc w:val="center"/>
              <w:rPr>
                <w:rFonts w:ascii="Lato" w:hAnsi="Lato"/>
                <w:color w:val="FFFFFF"/>
                <w:szCs w:val="22"/>
              </w:rPr>
            </w:pPr>
            <w:r w:rsidRPr="00785A9C">
              <w:rPr>
                <w:rFonts w:ascii="Lato" w:hAnsi="Lato"/>
                <w:color w:val="FFFFFF"/>
                <w:szCs w:val="22"/>
              </w:rPr>
              <w:t>Winter</w:t>
            </w:r>
          </w:p>
        </w:tc>
        <w:tc>
          <w:tcPr>
            <w:tcW w:w="960" w:type="dxa"/>
            <w:tcBorders>
              <w:top w:val="nil"/>
              <w:left w:val="nil"/>
              <w:bottom w:val="single" w:sz="4" w:space="0" w:color="auto"/>
              <w:right w:val="single" w:sz="4" w:space="0" w:color="auto"/>
            </w:tcBorders>
            <w:noWrap/>
            <w:vAlign w:val="center"/>
            <w:hideMark/>
          </w:tcPr>
          <w:p w14:paraId="5FC3F7F2" w14:textId="77777777" w:rsidR="006D300B" w:rsidRPr="00785A9C" w:rsidRDefault="006D300B" w:rsidP="0016214F">
            <w:pPr>
              <w:spacing w:after="0" w:line="240" w:lineRule="auto"/>
              <w:jc w:val="center"/>
              <w:rPr>
                <w:rFonts w:ascii="Lato" w:hAnsi="Lato"/>
                <w:color w:val="000000"/>
                <w:szCs w:val="22"/>
              </w:rPr>
            </w:pPr>
            <w:r w:rsidRPr="00785A9C">
              <w:rPr>
                <w:rFonts w:ascii="Lato" w:hAnsi="Lato"/>
                <w:color w:val="000000"/>
                <w:szCs w:val="22"/>
              </w:rPr>
              <w:t>HE 8</w:t>
            </w:r>
          </w:p>
        </w:tc>
        <w:tc>
          <w:tcPr>
            <w:tcW w:w="960" w:type="dxa"/>
            <w:tcBorders>
              <w:top w:val="nil"/>
              <w:left w:val="nil"/>
              <w:bottom w:val="single" w:sz="4" w:space="0" w:color="auto"/>
              <w:right w:val="single" w:sz="4" w:space="0" w:color="auto"/>
            </w:tcBorders>
            <w:noWrap/>
            <w:vAlign w:val="center"/>
            <w:hideMark/>
          </w:tcPr>
          <w:p w14:paraId="7C0BDEE5" w14:textId="77777777" w:rsidR="006D300B" w:rsidRPr="00785A9C" w:rsidRDefault="006D300B" w:rsidP="0016214F">
            <w:pPr>
              <w:spacing w:after="0" w:line="240" w:lineRule="auto"/>
              <w:jc w:val="center"/>
              <w:rPr>
                <w:rFonts w:ascii="Lato" w:hAnsi="Lato"/>
                <w:color w:val="000000"/>
                <w:szCs w:val="22"/>
              </w:rPr>
            </w:pPr>
            <w:r w:rsidRPr="00785A9C">
              <w:rPr>
                <w:rFonts w:ascii="Lato" w:hAnsi="Lato"/>
                <w:color w:val="000000"/>
                <w:szCs w:val="22"/>
              </w:rPr>
              <w:t>HE 12</w:t>
            </w:r>
          </w:p>
        </w:tc>
      </w:tr>
      <w:tr w:rsidR="006D300B" w:rsidRPr="00785A9C" w14:paraId="5AB733E6" w14:textId="77777777" w:rsidTr="0016214F">
        <w:trPr>
          <w:trHeight w:val="288"/>
          <w:jc w:val="center"/>
        </w:trPr>
        <w:tc>
          <w:tcPr>
            <w:tcW w:w="960" w:type="dxa"/>
            <w:vMerge/>
            <w:tcBorders>
              <w:top w:val="nil"/>
              <w:left w:val="single" w:sz="4" w:space="0" w:color="auto"/>
              <w:bottom w:val="single" w:sz="4" w:space="0" w:color="auto"/>
              <w:right w:val="single" w:sz="4" w:space="0" w:color="auto"/>
            </w:tcBorders>
            <w:vAlign w:val="center"/>
            <w:hideMark/>
          </w:tcPr>
          <w:p w14:paraId="49B52471" w14:textId="77777777" w:rsidR="006D300B" w:rsidRPr="00785A9C" w:rsidRDefault="006D300B" w:rsidP="0016214F">
            <w:pPr>
              <w:spacing w:after="0" w:line="240" w:lineRule="auto"/>
              <w:rPr>
                <w:rFonts w:ascii="Lato" w:hAnsi="Lato"/>
                <w:color w:val="FFFFFF"/>
                <w:szCs w:val="22"/>
              </w:rPr>
            </w:pPr>
          </w:p>
        </w:tc>
        <w:tc>
          <w:tcPr>
            <w:tcW w:w="960" w:type="dxa"/>
            <w:tcBorders>
              <w:top w:val="nil"/>
              <w:left w:val="nil"/>
              <w:bottom w:val="single" w:sz="4" w:space="0" w:color="auto"/>
              <w:right w:val="single" w:sz="4" w:space="0" w:color="auto"/>
            </w:tcBorders>
            <w:noWrap/>
            <w:vAlign w:val="center"/>
            <w:hideMark/>
          </w:tcPr>
          <w:p w14:paraId="4543F012" w14:textId="77777777" w:rsidR="006D300B" w:rsidRPr="00785A9C" w:rsidRDefault="006D300B" w:rsidP="0016214F">
            <w:pPr>
              <w:spacing w:after="0" w:line="240" w:lineRule="auto"/>
              <w:jc w:val="center"/>
              <w:rPr>
                <w:rFonts w:ascii="Lato" w:hAnsi="Lato"/>
                <w:color w:val="000000"/>
                <w:szCs w:val="22"/>
              </w:rPr>
            </w:pPr>
            <w:r w:rsidRPr="00785A9C">
              <w:rPr>
                <w:rFonts w:ascii="Lato" w:hAnsi="Lato"/>
                <w:color w:val="000000"/>
                <w:szCs w:val="22"/>
              </w:rPr>
              <w:t>HE 19</w:t>
            </w:r>
          </w:p>
        </w:tc>
        <w:tc>
          <w:tcPr>
            <w:tcW w:w="960" w:type="dxa"/>
            <w:tcBorders>
              <w:top w:val="nil"/>
              <w:left w:val="nil"/>
              <w:bottom w:val="single" w:sz="4" w:space="0" w:color="auto"/>
              <w:right w:val="single" w:sz="4" w:space="0" w:color="auto"/>
            </w:tcBorders>
            <w:noWrap/>
            <w:vAlign w:val="center"/>
            <w:hideMark/>
          </w:tcPr>
          <w:p w14:paraId="5A5DC764" w14:textId="77777777" w:rsidR="006D300B" w:rsidRPr="00785A9C" w:rsidRDefault="006D300B" w:rsidP="0016214F">
            <w:pPr>
              <w:spacing w:after="0" w:line="240" w:lineRule="auto"/>
              <w:jc w:val="center"/>
              <w:rPr>
                <w:rFonts w:ascii="Lato" w:hAnsi="Lato"/>
                <w:color w:val="000000"/>
                <w:szCs w:val="22"/>
              </w:rPr>
            </w:pPr>
            <w:r w:rsidRPr="00785A9C">
              <w:rPr>
                <w:rFonts w:ascii="Lato" w:hAnsi="Lato"/>
                <w:color w:val="000000"/>
                <w:szCs w:val="22"/>
              </w:rPr>
              <w:t>HE 22</w:t>
            </w:r>
          </w:p>
        </w:tc>
      </w:tr>
      <w:tr w:rsidR="006D300B" w:rsidRPr="00785A9C" w14:paraId="1A21020E" w14:textId="77777777" w:rsidTr="0016214F">
        <w:trPr>
          <w:trHeight w:val="288"/>
          <w:jc w:val="center"/>
        </w:trPr>
        <w:tc>
          <w:tcPr>
            <w:tcW w:w="960" w:type="dxa"/>
            <w:tcBorders>
              <w:top w:val="nil"/>
              <w:left w:val="single" w:sz="4" w:space="0" w:color="auto"/>
              <w:bottom w:val="single" w:sz="4" w:space="0" w:color="auto"/>
              <w:right w:val="single" w:sz="4" w:space="0" w:color="auto"/>
            </w:tcBorders>
            <w:shd w:val="clear" w:color="000000" w:fill="0070C0"/>
            <w:noWrap/>
            <w:vAlign w:val="center"/>
            <w:hideMark/>
          </w:tcPr>
          <w:p w14:paraId="414EDFF6" w14:textId="77777777" w:rsidR="006D300B" w:rsidRPr="00785A9C" w:rsidRDefault="006D300B" w:rsidP="0016214F">
            <w:pPr>
              <w:spacing w:after="0" w:line="240" w:lineRule="auto"/>
              <w:jc w:val="center"/>
              <w:rPr>
                <w:rFonts w:ascii="Lato" w:hAnsi="Lato"/>
                <w:color w:val="FFFFFF"/>
                <w:szCs w:val="22"/>
              </w:rPr>
            </w:pPr>
            <w:r w:rsidRPr="00785A9C">
              <w:rPr>
                <w:rFonts w:ascii="Lato" w:hAnsi="Lato"/>
                <w:color w:val="FFFFFF"/>
                <w:szCs w:val="22"/>
              </w:rPr>
              <w:t>Spring</w:t>
            </w:r>
          </w:p>
        </w:tc>
        <w:tc>
          <w:tcPr>
            <w:tcW w:w="960" w:type="dxa"/>
            <w:tcBorders>
              <w:top w:val="nil"/>
              <w:left w:val="nil"/>
              <w:bottom w:val="single" w:sz="4" w:space="0" w:color="auto"/>
              <w:right w:val="single" w:sz="4" w:space="0" w:color="auto"/>
            </w:tcBorders>
            <w:noWrap/>
            <w:vAlign w:val="center"/>
            <w:hideMark/>
          </w:tcPr>
          <w:p w14:paraId="09F2BF4E" w14:textId="77777777" w:rsidR="006D300B" w:rsidRPr="00785A9C" w:rsidRDefault="006D300B" w:rsidP="0016214F">
            <w:pPr>
              <w:spacing w:after="0" w:line="240" w:lineRule="auto"/>
              <w:jc w:val="center"/>
              <w:rPr>
                <w:rFonts w:ascii="Lato" w:hAnsi="Lato"/>
                <w:color w:val="000000"/>
                <w:szCs w:val="22"/>
              </w:rPr>
            </w:pPr>
            <w:r w:rsidRPr="00785A9C">
              <w:rPr>
                <w:rFonts w:ascii="Lato" w:hAnsi="Lato"/>
                <w:color w:val="000000"/>
                <w:szCs w:val="22"/>
              </w:rPr>
              <w:t>HE 14</w:t>
            </w:r>
          </w:p>
        </w:tc>
        <w:tc>
          <w:tcPr>
            <w:tcW w:w="960" w:type="dxa"/>
            <w:tcBorders>
              <w:top w:val="nil"/>
              <w:left w:val="nil"/>
              <w:bottom w:val="single" w:sz="4" w:space="0" w:color="auto"/>
              <w:right w:val="single" w:sz="4" w:space="0" w:color="auto"/>
            </w:tcBorders>
            <w:noWrap/>
            <w:vAlign w:val="center"/>
            <w:hideMark/>
          </w:tcPr>
          <w:p w14:paraId="40A1CC22" w14:textId="77777777" w:rsidR="006D300B" w:rsidRPr="00785A9C" w:rsidRDefault="006D300B" w:rsidP="0016214F">
            <w:pPr>
              <w:keepNext/>
              <w:spacing w:after="0" w:line="240" w:lineRule="auto"/>
              <w:jc w:val="center"/>
              <w:rPr>
                <w:rFonts w:ascii="Lato" w:hAnsi="Lato"/>
                <w:color w:val="000000"/>
                <w:szCs w:val="22"/>
              </w:rPr>
            </w:pPr>
            <w:r w:rsidRPr="00785A9C">
              <w:rPr>
                <w:rFonts w:ascii="Lato" w:hAnsi="Lato"/>
                <w:color w:val="000000"/>
                <w:szCs w:val="22"/>
              </w:rPr>
              <w:t>HE 21</w:t>
            </w:r>
          </w:p>
        </w:tc>
      </w:tr>
    </w:tbl>
    <w:p w14:paraId="7F58946B" w14:textId="77777777" w:rsidR="006D300B" w:rsidRDefault="006D300B" w:rsidP="006D300B">
      <w:pPr>
        <w:pStyle w:val="Caption"/>
        <w:rPr>
          <w:rFonts w:ascii="Lato" w:hAnsi="Lato"/>
          <w:color w:val="000000" w:themeColor="text1"/>
        </w:rPr>
      </w:pPr>
      <w:r w:rsidRPr="00EC05DB">
        <w:rPr>
          <w:rFonts w:ascii="Lato" w:hAnsi="Lato"/>
          <w:color w:val="000000" w:themeColor="text1"/>
        </w:rPr>
        <w:t xml:space="preserve">Table </w:t>
      </w:r>
      <w:r w:rsidRPr="00EC05DB">
        <w:rPr>
          <w:rFonts w:ascii="Lato" w:hAnsi="Lato"/>
          <w:i/>
          <w:iCs/>
          <w:color w:val="000000" w:themeColor="text1"/>
        </w:rPr>
        <w:fldChar w:fldCharType="begin"/>
      </w:r>
      <w:r w:rsidRPr="00EC05DB">
        <w:rPr>
          <w:rFonts w:ascii="Lato" w:hAnsi="Lato"/>
          <w:color w:val="000000" w:themeColor="text1"/>
        </w:rPr>
        <w:instrText xml:space="preserve"> SEQ Table \* ARABIC </w:instrText>
      </w:r>
      <w:r w:rsidRPr="00EC05DB">
        <w:rPr>
          <w:rFonts w:ascii="Lato" w:hAnsi="Lato"/>
          <w:i/>
          <w:iCs/>
          <w:color w:val="000000" w:themeColor="text1"/>
        </w:rPr>
        <w:fldChar w:fldCharType="separate"/>
      </w:r>
      <w:r w:rsidRPr="00EC05DB">
        <w:rPr>
          <w:rFonts w:ascii="Lato" w:hAnsi="Lato"/>
          <w:noProof/>
          <w:color w:val="000000" w:themeColor="text1"/>
        </w:rPr>
        <w:t>3</w:t>
      </w:r>
      <w:r w:rsidRPr="00EC05DB">
        <w:rPr>
          <w:rFonts w:ascii="Lato" w:hAnsi="Lato"/>
          <w:i/>
          <w:iCs/>
          <w:color w:val="000000" w:themeColor="text1"/>
        </w:rPr>
        <w:fldChar w:fldCharType="end"/>
      </w:r>
      <w:r w:rsidRPr="00EC05DB">
        <w:rPr>
          <w:rFonts w:ascii="Lato" w:hAnsi="Lato"/>
          <w:color w:val="000000" w:themeColor="text1"/>
        </w:rPr>
        <w:t xml:space="preserve">. Expected Resource Adequacy Hours for PY 26/27. Please note, </w:t>
      </w:r>
      <w:r>
        <w:rPr>
          <w:rFonts w:ascii="Lato" w:hAnsi="Lato"/>
          <w:color w:val="000000" w:themeColor="text1"/>
        </w:rPr>
        <w:t>w</w:t>
      </w:r>
      <w:r w:rsidRPr="00EC05DB">
        <w:rPr>
          <w:rFonts w:ascii="Lato" w:hAnsi="Lato"/>
          <w:color w:val="000000" w:themeColor="text1"/>
        </w:rPr>
        <w:t>inter has two periods corresponding to the double peak experienced in the winter.</w:t>
      </w:r>
    </w:p>
    <w:p w14:paraId="0442DC10" w14:textId="77777777" w:rsidR="006D300B" w:rsidRPr="0016214F" w:rsidRDefault="006D300B" w:rsidP="006D300B">
      <w:pPr>
        <w:rPr>
          <w:rFonts w:eastAsiaTheme="majorEastAsia"/>
        </w:rPr>
      </w:pPr>
    </w:p>
    <w:p w14:paraId="140109C9" w14:textId="77777777" w:rsidR="006D300B" w:rsidRDefault="006D300B" w:rsidP="006D300B">
      <w:pPr>
        <w:rPr>
          <w:rFonts w:eastAsiaTheme="majorEastAsia"/>
        </w:rPr>
      </w:pPr>
      <w:r w:rsidRPr="00F77D74">
        <w:rPr>
          <w:rFonts w:eastAsiaTheme="majorEastAsia"/>
        </w:rPr>
        <w:t xml:space="preserve">A test must be performed to satisfy the requirements for each Season </w:t>
      </w:r>
      <w:r>
        <w:rPr>
          <w:rFonts w:eastAsiaTheme="majorEastAsia"/>
        </w:rPr>
        <w:t xml:space="preserve">using load data covering the </w:t>
      </w:r>
      <w:r w:rsidRPr="00F77D74">
        <w:rPr>
          <w:rFonts w:eastAsiaTheme="majorEastAsia"/>
        </w:rPr>
        <w:t>period spanning September 1 through August 31</w:t>
      </w:r>
      <w:r>
        <w:rPr>
          <w:rFonts w:eastAsiaTheme="majorEastAsia"/>
        </w:rPr>
        <w:t xml:space="preserve"> prior to the start of the Planning Year</w:t>
      </w:r>
      <w:r w:rsidRPr="00F77D74">
        <w:rPr>
          <w:rFonts w:eastAsiaTheme="majorEastAsia"/>
        </w:rPr>
        <w:t xml:space="preserve">. </w:t>
      </w:r>
      <w:r>
        <w:rPr>
          <w:rFonts w:eastAsiaTheme="majorEastAsia"/>
        </w:rPr>
        <w:t xml:space="preserve">For PY 2026/2027 this means Sept 1, </w:t>
      </w:r>
      <w:proofErr w:type="gramStart"/>
      <w:r>
        <w:rPr>
          <w:rFonts w:eastAsiaTheme="majorEastAsia"/>
        </w:rPr>
        <w:t>2024</w:t>
      </w:r>
      <w:proofErr w:type="gramEnd"/>
      <w:r>
        <w:rPr>
          <w:rFonts w:eastAsiaTheme="majorEastAsia"/>
        </w:rPr>
        <w:t xml:space="preserve"> through August 31, 2025. </w:t>
      </w:r>
      <w:r w:rsidRPr="00F77D74">
        <w:rPr>
          <w:rFonts w:eastAsiaTheme="majorEastAsia"/>
        </w:rPr>
        <w:t xml:space="preserve">A single annual test that satisfies the </w:t>
      </w:r>
      <w:r>
        <w:rPr>
          <w:rFonts w:eastAsiaTheme="majorEastAsia"/>
        </w:rPr>
        <w:t>requirements</w:t>
      </w:r>
      <w:r w:rsidRPr="00F77D74">
        <w:rPr>
          <w:rFonts w:eastAsiaTheme="majorEastAsia"/>
        </w:rPr>
        <w:t xml:space="preserve"> for each Season shall satisfy this requirement.</w:t>
      </w:r>
    </w:p>
    <w:p w14:paraId="06E131CD" w14:textId="77777777" w:rsidR="006D300B" w:rsidRPr="004D4EC9" w:rsidRDefault="006D300B" w:rsidP="006D300B">
      <w:pPr>
        <w:rPr>
          <w:rFonts w:eastAsiaTheme="majorEastAsia"/>
        </w:rPr>
      </w:pPr>
      <w:r w:rsidRPr="00F77D74">
        <w:rPr>
          <w:rFonts w:eastAsiaTheme="majorEastAsia"/>
        </w:rPr>
        <w:t xml:space="preserve">An aggregation of </w:t>
      </w:r>
      <w:r>
        <w:rPr>
          <w:rFonts w:eastAsiaTheme="majorEastAsia"/>
        </w:rPr>
        <w:t>Firm Service Level</w:t>
      </w:r>
      <w:r w:rsidRPr="00F77D74">
        <w:rPr>
          <w:rFonts w:eastAsiaTheme="majorEastAsia"/>
        </w:rPr>
        <w:t xml:space="preserve"> resources may test </w:t>
      </w:r>
      <w:r>
        <w:rPr>
          <w:rFonts w:eastAsiaTheme="majorEastAsia"/>
        </w:rPr>
        <w:t xml:space="preserve">each component </w:t>
      </w:r>
      <w:r w:rsidRPr="00F77D74">
        <w:rPr>
          <w:rFonts w:eastAsiaTheme="majorEastAsia"/>
        </w:rPr>
        <w:t xml:space="preserve">individually, at different times, to </w:t>
      </w:r>
      <w:r>
        <w:rPr>
          <w:rFonts w:eastAsiaTheme="majorEastAsia"/>
        </w:rPr>
        <w:t>demonstrate</w:t>
      </w:r>
      <w:r w:rsidRPr="00F77D74">
        <w:rPr>
          <w:rFonts w:eastAsiaTheme="majorEastAsia"/>
        </w:rPr>
        <w:t xml:space="preserve"> the ability of each </w:t>
      </w:r>
      <w:r>
        <w:rPr>
          <w:rFonts w:eastAsiaTheme="majorEastAsia"/>
        </w:rPr>
        <w:t>Firm Service Level</w:t>
      </w:r>
      <w:r w:rsidRPr="00F77D74">
        <w:rPr>
          <w:rFonts w:eastAsiaTheme="majorEastAsia"/>
        </w:rPr>
        <w:t xml:space="preserve"> </w:t>
      </w:r>
      <w:r>
        <w:rPr>
          <w:rFonts w:eastAsiaTheme="majorEastAsia"/>
        </w:rPr>
        <w:t>asset</w:t>
      </w:r>
      <w:r w:rsidRPr="00F77D74">
        <w:rPr>
          <w:rFonts w:eastAsiaTheme="majorEastAsia"/>
        </w:rPr>
        <w:t xml:space="preserve"> to achieve its </w:t>
      </w:r>
      <w:r>
        <w:rPr>
          <w:rFonts w:eastAsiaTheme="majorEastAsia"/>
        </w:rPr>
        <w:t xml:space="preserve">Firm Service Level </w:t>
      </w:r>
      <w:r w:rsidRPr="00F77D74">
        <w:rPr>
          <w:rFonts w:eastAsiaTheme="majorEastAsia"/>
        </w:rPr>
        <w:t>as set forth above.</w:t>
      </w:r>
    </w:p>
    <w:p w14:paraId="0840276B" w14:textId="77777777" w:rsidR="006D300B" w:rsidRPr="006463FC" w:rsidRDefault="006D300B" w:rsidP="006D300B">
      <w:pPr>
        <w:rPr>
          <w:rFonts w:eastAsiaTheme="majorEastAsia"/>
        </w:rPr>
      </w:pPr>
      <w:r w:rsidRPr="004D4EC9">
        <w:rPr>
          <w:rFonts w:eastAsiaTheme="majorEastAsia"/>
        </w:rPr>
        <w:t>A Demand Resource using the firm service level baseline may not use the Demand reduction achieved by the load process identified by the end-use customer that will remain in operation when the resource is called upon to reduce Demand as part of the real power test.</w:t>
      </w:r>
      <w:r>
        <w:rPr>
          <w:rFonts w:eastAsiaTheme="majorEastAsia"/>
        </w:rPr>
        <w:t xml:space="preserve"> </w:t>
      </w:r>
      <w:r w:rsidRPr="0081025C">
        <w:rPr>
          <w:rFonts w:eastAsiaTheme="majorEastAsia"/>
        </w:rPr>
        <w:t xml:space="preserve">For example, if a 15 MW resource has a </w:t>
      </w:r>
      <w:r>
        <w:rPr>
          <w:rFonts w:eastAsiaTheme="majorEastAsia"/>
        </w:rPr>
        <w:t>Firm Service Level</w:t>
      </w:r>
      <w:r w:rsidRPr="0081025C">
        <w:rPr>
          <w:rFonts w:eastAsiaTheme="majorEastAsia"/>
        </w:rPr>
        <w:t xml:space="preserve"> of 5 MW, the load process consuming 5 MW of Demand will not count towards the demand reduction for the </w:t>
      </w:r>
      <w:proofErr w:type="gramStart"/>
      <w:r w:rsidRPr="0081025C">
        <w:rPr>
          <w:rFonts w:eastAsiaTheme="majorEastAsia"/>
        </w:rPr>
        <w:t>purposes</w:t>
      </w:r>
      <w:proofErr w:type="gramEnd"/>
      <w:r w:rsidRPr="0081025C">
        <w:rPr>
          <w:rFonts w:eastAsiaTheme="majorEastAsia"/>
        </w:rPr>
        <w:t xml:space="preserve"> of identifying if the Demand Resource could reduce to this level of consumption.</w:t>
      </w:r>
      <w:r>
        <w:rPr>
          <w:rFonts w:eastAsiaTheme="majorEastAsia"/>
        </w:rPr>
        <w:t xml:space="preserve"> </w:t>
      </w:r>
      <w:r w:rsidRPr="006463FC">
        <w:rPr>
          <w:rFonts w:eastAsiaTheme="majorEastAsia"/>
        </w:rPr>
        <w:t xml:space="preserve">A Demand Resource using the </w:t>
      </w:r>
      <w:r>
        <w:rPr>
          <w:rFonts w:eastAsiaTheme="majorEastAsia"/>
        </w:rPr>
        <w:t>Firm Service Level</w:t>
      </w:r>
      <w:r w:rsidRPr="006463FC">
        <w:rPr>
          <w:rFonts w:eastAsiaTheme="majorEastAsia"/>
        </w:rPr>
        <w:t xml:space="preserve"> may curtail to 0 MW as part of a valid test, however the load process identified as consuming Demand when operating above the </w:t>
      </w:r>
      <w:r>
        <w:rPr>
          <w:rFonts w:eastAsiaTheme="majorEastAsia"/>
        </w:rPr>
        <w:t>Firm Service Level</w:t>
      </w:r>
      <w:r w:rsidRPr="006463FC">
        <w:rPr>
          <w:rFonts w:eastAsiaTheme="majorEastAsia"/>
        </w:rPr>
        <w:t xml:space="preserve"> will not be included in the determination of whether the resource achieved its </w:t>
      </w:r>
      <w:r>
        <w:rPr>
          <w:rFonts w:eastAsiaTheme="majorEastAsia"/>
        </w:rPr>
        <w:t>Firm Service Level</w:t>
      </w:r>
      <w:r w:rsidRPr="006463FC">
        <w:rPr>
          <w:rFonts w:eastAsiaTheme="majorEastAsia"/>
        </w:rPr>
        <w:t>.</w:t>
      </w:r>
      <w:r>
        <w:rPr>
          <w:rFonts w:eastAsiaTheme="majorEastAsia"/>
        </w:rPr>
        <w:t xml:space="preserve"> </w:t>
      </w:r>
      <w:r w:rsidRPr="006463FC">
        <w:rPr>
          <w:rFonts w:eastAsiaTheme="majorEastAsia"/>
        </w:rPr>
        <w:t xml:space="preserve">The above rules mean if a 15 MW resource with a 5 MW </w:t>
      </w:r>
      <w:r>
        <w:rPr>
          <w:rFonts w:eastAsiaTheme="majorEastAsia"/>
        </w:rPr>
        <w:t>Firm Service Level</w:t>
      </w:r>
      <w:r w:rsidRPr="006463FC">
        <w:rPr>
          <w:rFonts w:eastAsiaTheme="majorEastAsia"/>
        </w:rPr>
        <w:t xml:space="preserve">, of which the </w:t>
      </w:r>
      <w:r>
        <w:rPr>
          <w:rFonts w:eastAsiaTheme="majorEastAsia"/>
        </w:rPr>
        <w:t>Firm Service Level</w:t>
      </w:r>
      <w:r w:rsidRPr="006463FC">
        <w:rPr>
          <w:rFonts w:eastAsiaTheme="majorEastAsia"/>
        </w:rPr>
        <w:t xml:space="preserve"> load process is 5 MW and the remaining load is comprise of four 2.5 MW processes, decreases its Demand from 12 MW to 2 MW by curtailing two 2.5 MW processes and the 5 MW process</w:t>
      </w:r>
      <w:r>
        <w:rPr>
          <w:rFonts w:eastAsiaTheme="majorEastAsia"/>
        </w:rPr>
        <w:t xml:space="preserve"> it</w:t>
      </w:r>
      <w:r w:rsidRPr="006463FC">
        <w:rPr>
          <w:rFonts w:eastAsiaTheme="majorEastAsia"/>
        </w:rPr>
        <w:t xml:space="preserve"> will not be considered to have passed the test.</w:t>
      </w:r>
    </w:p>
    <w:p w14:paraId="2034F237" w14:textId="77777777" w:rsidR="006D300B" w:rsidRPr="006D300B" w:rsidRDefault="006D300B" w:rsidP="006D300B">
      <w:pPr>
        <w:rPr>
          <w:rFonts w:eastAsiaTheme="majorEastAsia"/>
          <w:color w:val="EE0000"/>
        </w:rPr>
      </w:pPr>
      <w:r w:rsidRPr="006D300B">
        <w:rPr>
          <w:rFonts w:eastAsiaTheme="majorEastAsia"/>
          <w:color w:val="EE0000"/>
        </w:rPr>
        <w:t>MISO will determine the maximum Demand of a Demand Resource using the firm service level baseline as follows:</w:t>
      </w:r>
    </w:p>
    <w:p w14:paraId="2A3CE041" w14:textId="77777777" w:rsidR="006D300B" w:rsidRPr="006D300B" w:rsidRDefault="006D300B" w:rsidP="006D300B">
      <w:pPr>
        <w:numPr>
          <w:ilvl w:val="0"/>
          <w:numId w:val="13"/>
        </w:numPr>
        <w:spacing w:after="0"/>
        <w:rPr>
          <w:rFonts w:eastAsiaTheme="majorEastAsia"/>
          <w:color w:val="EE0000"/>
        </w:rPr>
      </w:pPr>
      <w:r w:rsidRPr="006D300B">
        <w:rPr>
          <w:rFonts w:eastAsiaTheme="majorEastAsia"/>
          <w:color w:val="EE0000"/>
        </w:rPr>
        <w:t xml:space="preserve">For each Season, identify the resource’s mean consumption. This provides the average </w:t>
      </w:r>
      <w:proofErr w:type="gramStart"/>
      <w:r w:rsidRPr="006D300B">
        <w:rPr>
          <w:rFonts w:eastAsiaTheme="majorEastAsia"/>
          <w:color w:val="EE0000"/>
        </w:rPr>
        <w:t>load</w:t>
      </w:r>
      <w:proofErr w:type="gramEnd"/>
      <w:r w:rsidRPr="006D300B">
        <w:rPr>
          <w:rFonts w:eastAsiaTheme="majorEastAsia"/>
          <w:color w:val="EE0000"/>
        </w:rPr>
        <w:t xml:space="preserve"> consumed in that Season.</w:t>
      </w:r>
    </w:p>
    <w:p w14:paraId="7C73E0E5" w14:textId="77777777" w:rsidR="006D300B" w:rsidRPr="006D300B" w:rsidRDefault="006D300B" w:rsidP="006D300B">
      <w:pPr>
        <w:numPr>
          <w:ilvl w:val="0"/>
          <w:numId w:val="13"/>
        </w:numPr>
        <w:spacing w:after="0"/>
        <w:rPr>
          <w:rFonts w:eastAsiaTheme="majorEastAsia"/>
          <w:color w:val="EE0000"/>
        </w:rPr>
      </w:pPr>
      <w:r w:rsidRPr="006D300B">
        <w:rPr>
          <w:rFonts w:eastAsiaTheme="majorEastAsia"/>
          <w:color w:val="EE0000"/>
        </w:rPr>
        <w:t>For each Season, identify the resource’s standard deviation of consumption. This will be used to eliminate outlier values from consideration of the resource’s maximum consumed load.</w:t>
      </w:r>
    </w:p>
    <w:p w14:paraId="0487B5BE" w14:textId="77777777" w:rsidR="006D300B" w:rsidRPr="006D300B" w:rsidRDefault="006D300B" w:rsidP="006D300B">
      <w:pPr>
        <w:numPr>
          <w:ilvl w:val="0"/>
          <w:numId w:val="13"/>
        </w:numPr>
        <w:spacing w:after="0"/>
        <w:rPr>
          <w:rFonts w:eastAsiaTheme="majorEastAsia"/>
          <w:color w:val="EE0000"/>
        </w:rPr>
      </w:pPr>
      <w:r w:rsidRPr="006D300B">
        <w:rPr>
          <w:rFonts w:eastAsiaTheme="majorEastAsia"/>
          <w:color w:val="EE0000"/>
        </w:rPr>
        <w:t>For each Season, identify the potential cutoff; defined as step 1 + 2 * step 2.</w:t>
      </w:r>
    </w:p>
    <w:p w14:paraId="6553F9EF" w14:textId="77777777" w:rsidR="006D300B" w:rsidRPr="006D300B" w:rsidRDefault="006D300B" w:rsidP="006D300B">
      <w:pPr>
        <w:numPr>
          <w:ilvl w:val="0"/>
          <w:numId w:val="13"/>
        </w:numPr>
        <w:spacing w:after="0"/>
        <w:rPr>
          <w:rFonts w:eastAsiaTheme="majorEastAsia"/>
          <w:color w:val="EE0000"/>
        </w:rPr>
      </w:pPr>
      <w:r w:rsidRPr="006D300B">
        <w:rPr>
          <w:rFonts w:eastAsiaTheme="majorEastAsia"/>
          <w:color w:val="EE0000"/>
        </w:rPr>
        <w:t>For each Season, identify the maximum Demand consumed by the resource in a single hour.</w:t>
      </w:r>
    </w:p>
    <w:p w14:paraId="61A843B4" w14:textId="77777777" w:rsidR="006D300B" w:rsidRPr="006D300B" w:rsidRDefault="006D300B" w:rsidP="006D300B">
      <w:pPr>
        <w:numPr>
          <w:ilvl w:val="0"/>
          <w:numId w:val="13"/>
        </w:numPr>
        <w:spacing w:after="0"/>
        <w:rPr>
          <w:rFonts w:eastAsiaTheme="majorEastAsia"/>
          <w:color w:val="EE0000"/>
        </w:rPr>
      </w:pPr>
      <w:r w:rsidRPr="006D300B">
        <w:rPr>
          <w:rFonts w:eastAsiaTheme="majorEastAsia"/>
          <w:color w:val="EE0000"/>
        </w:rPr>
        <w:lastRenderedPageBreak/>
        <w:t>For each Season, take the minimum of step 3 and step 4. This step results in the identification of the maximum Demand consumed in each Season.</w:t>
      </w:r>
    </w:p>
    <w:p w14:paraId="0F3A303A" w14:textId="77777777" w:rsidR="006D300B" w:rsidRPr="006D300B" w:rsidRDefault="006D300B" w:rsidP="006D300B">
      <w:pPr>
        <w:numPr>
          <w:ilvl w:val="0"/>
          <w:numId w:val="13"/>
        </w:numPr>
        <w:spacing w:after="0"/>
        <w:rPr>
          <w:rFonts w:eastAsiaTheme="majorEastAsia"/>
          <w:color w:val="EE0000"/>
        </w:rPr>
      </w:pPr>
      <w:r w:rsidRPr="006D300B">
        <w:rPr>
          <w:rFonts w:eastAsiaTheme="majorEastAsia"/>
          <w:color w:val="EE0000"/>
        </w:rPr>
        <w:t>For each Season, multiply step 5 by 0.8. This step results in the amount of load consumption that must be occurring when the test begins.</w:t>
      </w:r>
    </w:p>
    <w:p w14:paraId="4658E0C2" w14:textId="77777777" w:rsidR="006D300B" w:rsidRDefault="006D300B" w:rsidP="006D300B">
      <w:pPr>
        <w:rPr>
          <w:rFonts w:eastAsiaTheme="majorEastAsia"/>
        </w:rPr>
      </w:pPr>
    </w:p>
    <w:p w14:paraId="5AB35B73" w14:textId="77777777" w:rsidR="006D300B" w:rsidRPr="006D300B" w:rsidRDefault="006D300B" w:rsidP="006D300B">
      <w:pPr>
        <w:rPr>
          <w:rFonts w:eastAsiaTheme="majorEastAsia"/>
          <w:color w:val="EE0000"/>
        </w:rPr>
      </w:pPr>
      <w:r w:rsidRPr="006D300B">
        <w:rPr>
          <w:rFonts w:eastAsiaTheme="majorEastAsia"/>
          <w:color w:val="EE0000"/>
        </w:rPr>
        <w:t xml:space="preserve">If MISO determines a Demand Resource using the firm service level baseline has not satisfied the testing criteria, the accreditation of </w:t>
      </w:r>
      <w:proofErr w:type="gramStart"/>
      <w:r w:rsidRPr="006D300B">
        <w:rPr>
          <w:rFonts w:eastAsiaTheme="majorEastAsia"/>
          <w:color w:val="EE0000"/>
        </w:rPr>
        <w:t>the Demand</w:t>
      </w:r>
      <w:proofErr w:type="gramEnd"/>
      <w:r w:rsidRPr="006D300B">
        <w:rPr>
          <w:rFonts w:eastAsiaTheme="majorEastAsia"/>
          <w:color w:val="EE0000"/>
        </w:rPr>
        <w:t xml:space="preserve"> Resource will be reduced by the amount of the testing shortfall. For example, if a resource has a maximum Demand of 50 MW, the test must begin from a starting value of at least 40 MW. If the Demand Resource tests from a starting point of 35 MW, then the final accredited amount of the Demand Resource will be reduced by 5 MW (40 MW – 35 MW). This reduction will never reduce the accredited amount of the Demand Resource below zero and applies no matter what Firm Service Level is selected.</w:t>
      </w:r>
    </w:p>
    <w:p w14:paraId="2DC836FA"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r w:rsidRPr="006C0E34">
        <w:rPr>
          <w:rFonts w:cs="Arial"/>
          <w:sz w:val="24"/>
          <w:szCs w:val="24"/>
        </w:rPr>
        <w:t xml:space="preserve">Demand Resource – </w:t>
      </w:r>
      <w:r>
        <w:rPr>
          <w:rFonts w:cs="Arial"/>
          <w:sz w:val="24"/>
          <w:szCs w:val="24"/>
        </w:rPr>
        <w:t>Real Power Test Waiver Provisions</w:t>
      </w:r>
    </w:p>
    <w:p w14:paraId="74F1D362" w14:textId="77777777" w:rsidR="006D300B" w:rsidRDefault="006D300B" w:rsidP="006D300B">
      <w:pPr>
        <w:rPr>
          <w:rFonts w:eastAsiaTheme="majorEastAsia"/>
        </w:rPr>
      </w:pPr>
      <w:r>
        <w:rPr>
          <w:rFonts w:eastAsiaTheme="majorEastAsia"/>
        </w:rPr>
        <w:t>A Demand Resource may elect to waive the requirements to perform a real power test by utilizing one of the following waivers:</w:t>
      </w:r>
    </w:p>
    <w:p w14:paraId="7C474A23" w14:textId="77777777" w:rsidR="006D300B" w:rsidRDefault="006D300B" w:rsidP="006D300B">
      <w:pPr>
        <w:pStyle w:val="ListParagraph"/>
        <w:numPr>
          <w:ilvl w:val="3"/>
          <w:numId w:val="11"/>
        </w:numPr>
        <w:rPr>
          <w:rFonts w:eastAsiaTheme="majorEastAsia"/>
        </w:rPr>
      </w:pPr>
      <w:r w:rsidRPr="00242A24">
        <w:rPr>
          <w:rFonts w:eastAsiaTheme="majorEastAsia"/>
        </w:rPr>
        <w:t xml:space="preserve">The Demand Resource is comprised exclusively of assets for which a real power test is explicitly precluded or explicitly </w:t>
      </w:r>
      <w:proofErr w:type="gramStart"/>
      <w:r w:rsidRPr="00242A24">
        <w:rPr>
          <w:rFonts w:eastAsiaTheme="majorEastAsia"/>
        </w:rPr>
        <w:t>waived</w:t>
      </w:r>
      <w:proofErr w:type="gramEnd"/>
      <w:r w:rsidRPr="00242A24">
        <w:rPr>
          <w:rFonts w:eastAsiaTheme="majorEastAsia"/>
        </w:rPr>
        <w:t xml:space="preserve"> under a retail program approved by any applicable regulatory authority.</w:t>
      </w:r>
    </w:p>
    <w:p w14:paraId="55F42483" w14:textId="77777777" w:rsidR="006D300B" w:rsidRDefault="006D300B" w:rsidP="006D300B">
      <w:pPr>
        <w:pStyle w:val="ListParagraph"/>
        <w:numPr>
          <w:ilvl w:val="4"/>
          <w:numId w:val="11"/>
        </w:numPr>
        <w:rPr>
          <w:rFonts w:eastAsiaTheme="majorEastAsia"/>
        </w:rPr>
      </w:pPr>
      <w:r w:rsidRPr="00242A24">
        <w:rPr>
          <w:rFonts w:eastAsiaTheme="majorEastAsia"/>
        </w:rPr>
        <w:t>Evidence of such waiver must be submitted at the time of registration.</w:t>
      </w:r>
    </w:p>
    <w:p w14:paraId="1229A2EA" w14:textId="77777777" w:rsidR="006D300B" w:rsidRDefault="006D300B" w:rsidP="006D300B">
      <w:pPr>
        <w:pStyle w:val="ListParagraph"/>
        <w:numPr>
          <w:ilvl w:val="0"/>
          <w:numId w:val="11"/>
        </w:numPr>
        <w:rPr>
          <w:rFonts w:eastAsiaTheme="majorEastAsia"/>
        </w:rPr>
      </w:pPr>
      <w:r w:rsidRPr="00242A24">
        <w:rPr>
          <w:rFonts w:eastAsiaTheme="majorEastAsia"/>
        </w:rPr>
        <w:t>For the 2026/2027 PY only, the Demand Resource participating in a retail program overseen by any applicable regulatory authority may waive the requirements to perform a real power test by posting credit as set forth below:</w:t>
      </w:r>
    </w:p>
    <w:p w14:paraId="625B9F02" w14:textId="77777777" w:rsidR="006D300B" w:rsidRDefault="006D300B" w:rsidP="006D300B">
      <w:pPr>
        <w:pStyle w:val="ListParagraph"/>
        <w:numPr>
          <w:ilvl w:val="1"/>
          <w:numId w:val="11"/>
        </w:numPr>
        <w:rPr>
          <w:rFonts w:eastAsiaTheme="majorEastAsia"/>
        </w:rPr>
      </w:pPr>
      <w:r w:rsidRPr="00242A24">
        <w:rPr>
          <w:rFonts w:eastAsiaTheme="majorEastAsia"/>
        </w:rPr>
        <w:t xml:space="preserve">If the Demand Resource opts out of demonstrating Demand reduction capability under this waiver provision, then </w:t>
      </w:r>
      <w:proofErr w:type="gramStart"/>
      <w:r w:rsidRPr="00242A24">
        <w:rPr>
          <w:rFonts w:eastAsiaTheme="majorEastAsia"/>
        </w:rPr>
        <w:t>the Demand</w:t>
      </w:r>
      <w:proofErr w:type="gramEnd"/>
      <w:r w:rsidRPr="00242A24">
        <w:rPr>
          <w:rFonts w:eastAsiaTheme="majorEastAsia"/>
        </w:rPr>
        <w:t xml:space="preserve"> Resource will replace real-time LMP penalties for underperformance with three-</w:t>
      </w:r>
      <w:proofErr w:type="gramStart"/>
      <w:r w:rsidRPr="00242A24">
        <w:rPr>
          <w:rFonts w:eastAsiaTheme="majorEastAsia"/>
        </w:rPr>
        <w:t>times</w:t>
      </w:r>
      <w:proofErr w:type="gramEnd"/>
      <w:r w:rsidRPr="00242A24">
        <w:rPr>
          <w:rFonts w:eastAsiaTheme="majorEastAsia"/>
        </w:rPr>
        <w:t xml:space="preserve"> real-time LMP penalties. The RSG component of the penalty will not be multiplied </w:t>
      </w:r>
      <w:proofErr w:type="gramStart"/>
      <w:r w:rsidRPr="00242A24">
        <w:rPr>
          <w:rFonts w:eastAsiaTheme="majorEastAsia"/>
        </w:rPr>
        <w:t>times three</w:t>
      </w:r>
      <w:proofErr w:type="gramEnd"/>
      <w:r w:rsidRPr="00242A24">
        <w:rPr>
          <w:rFonts w:eastAsiaTheme="majorEastAsia"/>
        </w:rPr>
        <w:t xml:space="preserve"> (3). </w:t>
      </w:r>
    </w:p>
    <w:p w14:paraId="6FEFEBD0" w14:textId="77777777" w:rsidR="006D300B" w:rsidRDefault="006D300B" w:rsidP="006D300B">
      <w:pPr>
        <w:pStyle w:val="ListParagraph"/>
        <w:numPr>
          <w:ilvl w:val="1"/>
          <w:numId w:val="11"/>
        </w:numPr>
        <w:rPr>
          <w:rFonts w:eastAsiaTheme="majorEastAsia"/>
        </w:rPr>
      </w:pPr>
      <w:r w:rsidRPr="00242A24">
        <w:rPr>
          <w:rFonts w:eastAsiaTheme="majorEastAsia"/>
        </w:rPr>
        <w:t>A Market Participant seeking such a waiver must post credit by March 1, 2026 totaling the total registered amount of Demand (ICAP value registered) registered but not tested multiplied by $12,000/MW, where $12,000/MW is the product of 3 * 4 * $1,000 to account for the three (3) times penalty assumed under the waiver, the four (4) hours of LMR requirements, and a $1,000 LMP as a proxy for pricing under Emergency conditions.</w:t>
      </w:r>
    </w:p>
    <w:p w14:paraId="62366D77" w14:textId="77777777" w:rsidR="006D300B" w:rsidRDefault="006D300B" w:rsidP="006D300B">
      <w:pPr>
        <w:pStyle w:val="ListParagraph"/>
        <w:numPr>
          <w:ilvl w:val="0"/>
          <w:numId w:val="11"/>
        </w:numPr>
        <w:rPr>
          <w:rFonts w:eastAsiaTheme="majorEastAsia"/>
        </w:rPr>
      </w:pPr>
      <w:r w:rsidRPr="00242A24">
        <w:rPr>
          <w:rFonts w:eastAsiaTheme="majorEastAsia"/>
        </w:rPr>
        <w:t xml:space="preserve">A Demand Resource that satisfies </w:t>
      </w:r>
      <w:proofErr w:type="gramStart"/>
      <w:r w:rsidRPr="00242A24">
        <w:rPr>
          <w:rFonts w:eastAsiaTheme="majorEastAsia"/>
        </w:rPr>
        <w:t>all of</w:t>
      </w:r>
      <w:proofErr w:type="gramEnd"/>
      <w:r w:rsidRPr="00242A24">
        <w:rPr>
          <w:rFonts w:eastAsiaTheme="majorEastAsia"/>
        </w:rPr>
        <w:t xml:space="preserve"> the following requirements may waive the requirements to perform a real power test.</w:t>
      </w:r>
    </w:p>
    <w:p w14:paraId="5D126571" w14:textId="77777777" w:rsidR="006D300B" w:rsidRDefault="006D300B" w:rsidP="006D300B">
      <w:pPr>
        <w:pStyle w:val="ListParagraph"/>
        <w:numPr>
          <w:ilvl w:val="1"/>
          <w:numId w:val="11"/>
        </w:numPr>
        <w:rPr>
          <w:rFonts w:eastAsiaTheme="majorEastAsia"/>
        </w:rPr>
      </w:pPr>
      <w:r w:rsidRPr="00242A24">
        <w:rPr>
          <w:rFonts w:eastAsiaTheme="majorEastAsia"/>
        </w:rPr>
        <w:t xml:space="preserve">The Demand Resource has been issued at least one Scheduling Instruction during the three-year period beginning on January 1 of the Year that is three Years prior to the start of the applicable Planning Year. This means January 1, </w:t>
      </w:r>
      <w:proofErr w:type="gramStart"/>
      <w:r w:rsidRPr="00242A24">
        <w:rPr>
          <w:rFonts w:eastAsiaTheme="majorEastAsia"/>
        </w:rPr>
        <w:t>2023</w:t>
      </w:r>
      <w:proofErr w:type="gramEnd"/>
      <w:r w:rsidRPr="00242A24">
        <w:rPr>
          <w:rFonts w:eastAsiaTheme="majorEastAsia"/>
        </w:rPr>
        <w:t xml:space="preserve"> for PY 2026/2027. Scheduling Instructions issued as part of a Capacity Emergency, Transmission Emergency, or any other type of Emergency, as well as any MISO-initiated tests, satisfy the requirements of this section.</w:t>
      </w:r>
    </w:p>
    <w:p w14:paraId="25CA7984" w14:textId="77777777" w:rsidR="006D300B" w:rsidRDefault="006D300B" w:rsidP="006D300B">
      <w:pPr>
        <w:pStyle w:val="ListParagraph"/>
        <w:numPr>
          <w:ilvl w:val="1"/>
          <w:numId w:val="11"/>
        </w:numPr>
        <w:rPr>
          <w:rFonts w:eastAsiaTheme="majorEastAsia"/>
        </w:rPr>
      </w:pPr>
      <w:r w:rsidRPr="00242A24">
        <w:rPr>
          <w:rFonts w:eastAsiaTheme="majorEastAsia"/>
        </w:rPr>
        <w:lastRenderedPageBreak/>
        <w:t xml:space="preserve">The Demand Resource has fully met the performance obligations of each </w:t>
      </w:r>
      <w:proofErr w:type="gramStart"/>
      <w:r w:rsidRPr="00242A24">
        <w:rPr>
          <w:rFonts w:eastAsiaTheme="majorEastAsia"/>
        </w:rPr>
        <w:t>issued Scheduling Instruction</w:t>
      </w:r>
      <w:proofErr w:type="gramEnd"/>
      <w:r w:rsidRPr="00242A24">
        <w:rPr>
          <w:rFonts w:eastAsiaTheme="majorEastAsia"/>
        </w:rPr>
        <w:t xml:space="preserve"> over the three-year period. Beginning on January 1 of the Year that is three Years prior to the start of the applicable Planning Year.</w:t>
      </w:r>
    </w:p>
    <w:p w14:paraId="63A49225" w14:textId="77777777" w:rsidR="006D300B" w:rsidRDefault="006D300B" w:rsidP="006D300B">
      <w:pPr>
        <w:pStyle w:val="ListParagraph"/>
        <w:numPr>
          <w:ilvl w:val="1"/>
          <w:numId w:val="11"/>
        </w:numPr>
        <w:rPr>
          <w:rFonts w:eastAsiaTheme="majorEastAsia"/>
        </w:rPr>
      </w:pPr>
      <w:r w:rsidRPr="00242A24">
        <w:rPr>
          <w:rFonts w:eastAsiaTheme="majorEastAsia"/>
        </w:rPr>
        <w:t>The Demand Resource has fully met its availability requirements as set forth in Section 69A.3.5.e of Module E-1.</w:t>
      </w:r>
    </w:p>
    <w:p w14:paraId="3B878370" w14:textId="77777777" w:rsidR="006D300B" w:rsidRDefault="006D300B" w:rsidP="006D300B">
      <w:pPr>
        <w:pStyle w:val="ListParagraph"/>
        <w:numPr>
          <w:ilvl w:val="1"/>
          <w:numId w:val="11"/>
        </w:numPr>
        <w:rPr>
          <w:rFonts w:eastAsiaTheme="majorEastAsia"/>
        </w:rPr>
      </w:pPr>
      <w:r w:rsidRPr="00242A24">
        <w:rPr>
          <w:rFonts w:eastAsiaTheme="majorEastAsia"/>
        </w:rPr>
        <w:t>A Demand Resource utilizing this waiver provision must identify it</w:t>
      </w:r>
      <w:r>
        <w:rPr>
          <w:rFonts w:eastAsiaTheme="majorEastAsia"/>
        </w:rPr>
        <w:t>s qualification</w:t>
      </w:r>
      <w:r w:rsidRPr="00242A24">
        <w:rPr>
          <w:rFonts w:eastAsiaTheme="majorEastAsia"/>
        </w:rPr>
        <w:t xml:space="preserve"> for this waiver provision and provide the following at the time of registration:</w:t>
      </w:r>
    </w:p>
    <w:p w14:paraId="58CA2C0A" w14:textId="77777777" w:rsidR="006D300B" w:rsidRDefault="006D300B" w:rsidP="006D300B">
      <w:pPr>
        <w:pStyle w:val="ListParagraph"/>
        <w:numPr>
          <w:ilvl w:val="2"/>
          <w:numId w:val="11"/>
        </w:numPr>
        <w:rPr>
          <w:rFonts w:eastAsiaTheme="majorEastAsia"/>
        </w:rPr>
      </w:pPr>
      <w:r w:rsidRPr="00242A24">
        <w:rPr>
          <w:rFonts w:eastAsiaTheme="majorEastAsia"/>
        </w:rPr>
        <w:t xml:space="preserve">Identify all issued Scheduling </w:t>
      </w:r>
      <w:proofErr w:type="gramStart"/>
      <w:r w:rsidRPr="00242A24">
        <w:rPr>
          <w:rFonts w:eastAsiaTheme="majorEastAsia"/>
        </w:rPr>
        <w:t>Instructions;</w:t>
      </w:r>
      <w:proofErr w:type="gramEnd"/>
    </w:p>
    <w:p w14:paraId="5F0858FE" w14:textId="77777777" w:rsidR="006D300B" w:rsidRDefault="006D300B" w:rsidP="006D300B">
      <w:pPr>
        <w:pStyle w:val="ListParagraph"/>
        <w:numPr>
          <w:ilvl w:val="2"/>
          <w:numId w:val="11"/>
        </w:numPr>
        <w:rPr>
          <w:rFonts w:eastAsiaTheme="majorEastAsia"/>
        </w:rPr>
      </w:pPr>
      <w:r w:rsidRPr="00242A24">
        <w:rPr>
          <w:rFonts w:eastAsiaTheme="majorEastAsia"/>
        </w:rPr>
        <w:t xml:space="preserve">Confirm at the time of registration that it has not added any new components to the resource if comprised of an aggregation of components. An aggregation may disaggregate (an) asset(s) without needing to retest provided the Demand Resource meets the waiver criteria with the asset(s) being </w:t>
      </w:r>
      <w:proofErr w:type="gramStart"/>
      <w:r w:rsidRPr="00242A24">
        <w:rPr>
          <w:rFonts w:eastAsiaTheme="majorEastAsia"/>
        </w:rPr>
        <w:t>disaggregated;</w:t>
      </w:r>
      <w:proofErr w:type="gramEnd"/>
    </w:p>
    <w:p w14:paraId="5E4AEE8D" w14:textId="77777777" w:rsidR="006D300B" w:rsidRDefault="006D300B" w:rsidP="006D300B">
      <w:pPr>
        <w:pStyle w:val="ListParagraph"/>
        <w:numPr>
          <w:ilvl w:val="2"/>
          <w:numId w:val="11"/>
        </w:numPr>
        <w:rPr>
          <w:rFonts w:eastAsiaTheme="majorEastAsia"/>
        </w:rPr>
      </w:pPr>
      <w:r w:rsidRPr="00242A24">
        <w:rPr>
          <w:rFonts w:eastAsiaTheme="majorEastAsia"/>
        </w:rPr>
        <w:t>Confirm the Demand Resource, and all components, operate in substantially the same manner as previously registered. For the purposes of this language, a significant change in the operations is defined as any change in the operational characteristics of an asset, such as the expansion of the facility, operation of additional production lines, or a change in the method by which Demand reduction is achieved. A change in accredited values due solely to a change in the resource’s contribution to the Coincident Peak Demand forecast not driven by changes in operational characteristics does not preclude the use of this waiver provision</w:t>
      </w:r>
      <w:r>
        <w:rPr>
          <w:rFonts w:eastAsiaTheme="majorEastAsia"/>
        </w:rPr>
        <w:t>.</w:t>
      </w:r>
    </w:p>
    <w:p w14:paraId="7BAE6EBC" w14:textId="77777777" w:rsidR="006D300B" w:rsidRDefault="006D300B" w:rsidP="006D300B">
      <w:pPr>
        <w:pStyle w:val="ListParagraph"/>
        <w:numPr>
          <w:ilvl w:val="1"/>
          <w:numId w:val="11"/>
        </w:numPr>
        <w:rPr>
          <w:rFonts w:eastAsiaTheme="majorEastAsia"/>
        </w:rPr>
      </w:pPr>
      <w:r w:rsidRPr="00242A24">
        <w:rPr>
          <w:rFonts w:eastAsiaTheme="majorEastAsia"/>
        </w:rPr>
        <w:t>This waiver provision may be precluded by MISO if the Market Participant does not provide evidence in support of this waiver provision.</w:t>
      </w:r>
    </w:p>
    <w:p w14:paraId="6DDB287E" w14:textId="77777777" w:rsidR="006D300B" w:rsidRPr="006C0E34" w:rsidRDefault="006D300B" w:rsidP="006D300B">
      <w:pPr>
        <w:pStyle w:val="Heading4"/>
        <w:numPr>
          <w:ilvl w:val="3"/>
          <w:numId w:val="1"/>
        </w:numPr>
        <w:tabs>
          <w:tab w:val="num" w:pos="360"/>
        </w:tabs>
        <w:spacing w:before="120" w:after="120" w:line="300" w:lineRule="auto"/>
        <w:ind w:left="0" w:firstLine="0"/>
        <w:rPr>
          <w:rFonts w:cs="Arial"/>
          <w:i w:val="0"/>
          <w:sz w:val="24"/>
          <w:szCs w:val="24"/>
        </w:rPr>
      </w:pPr>
      <w:r>
        <w:rPr>
          <w:rFonts w:cs="Arial"/>
          <w:sz w:val="24"/>
          <w:szCs w:val="24"/>
        </w:rPr>
        <w:t>Demand Resource Deferral Notice</w:t>
      </w:r>
    </w:p>
    <w:p w14:paraId="0BAD4FE7" w14:textId="77777777" w:rsidR="006D300B" w:rsidRDefault="006D300B" w:rsidP="006D300B">
      <w:pPr>
        <w:spacing w:after="0" w:line="300" w:lineRule="auto"/>
      </w:pPr>
      <w:r>
        <w:t>The Market Participant must provide written notification to MISO (https://help.misoenergy.org) of their intention to defer Demand Resource testing by February 1 prior to the upcoming Planning Year. This Demand Resource Deferral Notice must be from an officer of the company and include the following information:</w:t>
      </w:r>
    </w:p>
    <w:p w14:paraId="12DF1A93" w14:textId="77777777" w:rsidR="006D300B" w:rsidRDefault="006D300B" w:rsidP="006D300B">
      <w:pPr>
        <w:pStyle w:val="ListParagraph"/>
        <w:numPr>
          <w:ilvl w:val="0"/>
          <w:numId w:val="2"/>
        </w:numPr>
        <w:spacing w:after="0" w:line="300" w:lineRule="auto"/>
      </w:pPr>
      <w:r>
        <w:t>Company Name</w:t>
      </w:r>
    </w:p>
    <w:p w14:paraId="140B4216" w14:textId="77777777" w:rsidR="006D300B" w:rsidRDefault="006D300B" w:rsidP="006D300B">
      <w:pPr>
        <w:pStyle w:val="ListParagraph"/>
        <w:numPr>
          <w:ilvl w:val="0"/>
          <w:numId w:val="2"/>
        </w:numPr>
        <w:spacing w:after="0" w:line="300" w:lineRule="auto"/>
      </w:pPr>
      <w:r>
        <w:t>NERC ID of Company</w:t>
      </w:r>
    </w:p>
    <w:p w14:paraId="0EF300D0" w14:textId="77777777" w:rsidR="006D300B" w:rsidRDefault="006D300B" w:rsidP="006D300B">
      <w:pPr>
        <w:pStyle w:val="ListParagraph"/>
        <w:numPr>
          <w:ilvl w:val="0"/>
          <w:numId w:val="2"/>
        </w:numPr>
        <w:spacing w:after="0" w:line="300" w:lineRule="auto"/>
      </w:pPr>
      <w:r>
        <w:t>Planning Resource Name</w:t>
      </w:r>
    </w:p>
    <w:p w14:paraId="1B72F598" w14:textId="77777777" w:rsidR="006D300B" w:rsidRDefault="006D300B" w:rsidP="006D300B">
      <w:pPr>
        <w:pStyle w:val="ListParagraph"/>
        <w:numPr>
          <w:ilvl w:val="0"/>
          <w:numId w:val="2"/>
        </w:numPr>
        <w:spacing w:after="0" w:line="300" w:lineRule="auto"/>
      </w:pPr>
      <w:r>
        <w:t>Local Balancing Authority (LBA) or External Balancing Authority (BA) where located</w:t>
      </w:r>
    </w:p>
    <w:p w14:paraId="24448D61" w14:textId="77777777" w:rsidR="006D300B" w:rsidRDefault="006D300B" w:rsidP="006D300B">
      <w:pPr>
        <w:pStyle w:val="ListParagraph"/>
        <w:numPr>
          <w:ilvl w:val="0"/>
          <w:numId w:val="2"/>
        </w:numPr>
        <w:spacing w:after="0" w:line="300" w:lineRule="auto"/>
      </w:pPr>
      <w:r>
        <w:t>Expected DR test value (MW)</w:t>
      </w:r>
    </w:p>
    <w:p w14:paraId="74F08ED0" w14:textId="77777777" w:rsidR="006D300B" w:rsidRDefault="006D300B" w:rsidP="006D300B">
      <w:pPr>
        <w:pStyle w:val="ListParagraph"/>
        <w:numPr>
          <w:ilvl w:val="0"/>
          <w:numId w:val="2"/>
        </w:numPr>
        <w:spacing w:after="0" w:line="300" w:lineRule="auto"/>
      </w:pPr>
      <w:r>
        <w:t>Estimated completion date of DR test</w:t>
      </w:r>
    </w:p>
    <w:p w14:paraId="4BA3B3D4" w14:textId="77777777" w:rsidR="006D300B" w:rsidRDefault="006D300B" w:rsidP="006D300B">
      <w:pPr>
        <w:spacing w:after="0" w:line="300" w:lineRule="auto"/>
        <w:ind w:left="360"/>
      </w:pPr>
    </w:p>
    <w:p w14:paraId="6236A601" w14:textId="77777777" w:rsidR="006D300B" w:rsidRDefault="006D300B" w:rsidP="006D300B">
      <w:pPr>
        <w:spacing w:after="0" w:line="300" w:lineRule="auto"/>
      </w:pPr>
      <w:r>
        <w:t>Once the Demand Resource test is completed, information pertaining to it must be submitted via written notification to MISO (https://help.misoenergy.org).</w:t>
      </w:r>
    </w:p>
    <w:p w14:paraId="658B53F8" w14:textId="77777777" w:rsidR="006D300B" w:rsidRDefault="006D300B" w:rsidP="006D300B">
      <w:pPr>
        <w:spacing w:after="0" w:line="300" w:lineRule="auto"/>
      </w:pPr>
    </w:p>
    <w:p w14:paraId="2D21489B" w14:textId="77777777" w:rsidR="006D300B" w:rsidRPr="008D0CB7" w:rsidRDefault="006D300B" w:rsidP="006D300B">
      <w:pPr>
        <w:spacing w:after="0" w:line="300" w:lineRule="auto"/>
      </w:pPr>
      <w:r>
        <w:t xml:space="preserve">A Demand Resource using the Demand Resource Deferral Notice must satisfy credit requirements by March 1 prior to the Planning Year totaling the amount of Demand reduction </w:t>
      </w:r>
      <w:r>
        <w:lastRenderedPageBreak/>
        <w:t>registered, but not tested, multiplied by $12,000/MW, where $12,000 is the product of 3 * 4 * $1,000 to account for the three (3) times Energy penalty assumed under the waiver, the four (4) hours of LMR requirements, and a $1,000 LMP as a proxy for pricing under emergency conditions.</w:t>
      </w:r>
    </w:p>
    <w:p w14:paraId="70EB3148" w14:textId="77777777" w:rsidR="006D300B" w:rsidRDefault="006D300B" w:rsidP="006D300B">
      <w:pPr>
        <w:spacing w:after="0" w:line="300" w:lineRule="auto"/>
      </w:pPr>
    </w:p>
    <w:p w14:paraId="09CE823B" w14:textId="77777777" w:rsidR="006D300B" w:rsidRDefault="006D300B" w:rsidP="006D300B">
      <w:r>
        <w:t>If the Market Participant submits the real power test results on or before the last business day of the month prior to the Season the DR was used in a FRAP</w:t>
      </w:r>
      <w:r w:rsidRPr="00B50216">
        <w:t xml:space="preserve"> </w:t>
      </w:r>
      <w:r>
        <w:t xml:space="preserve">or RBDC </w:t>
      </w:r>
      <w:proofErr w:type="spellStart"/>
      <w:r>
        <w:t>Opt</w:t>
      </w:r>
      <w:proofErr w:type="spellEnd"/>
      <w:r>
        <w:t xml:space="preserve"> Out or cleared the auction within the Planning Year that are equal to or greater than the expected Demand Resource test value, then the </w:t>
      </w:r>
      <w:r w:rsidRPr="00E92182">
        <w:t>Transmission Provider will adjust the Market Participant’s credit requirement to account for these changes within twenty (20) Business Days after that real power test is submitted.</w:t>
      </w:r>
    </w:p>
    <w:p w14:paraId="5266DAA3" w14:textId="77777777" w:rsidR="006D300B" w:rsidRDefault="006D300B" w:rsidP="006D300B">
      <w:r>
        <w:t>If SAC</w:t>
      </w:r>
      <w:r w:rsidRPr="00E92182">
        <w:t xml:space="preserve"> associated with a Planning Resource for which </w:t>
      </w:r>
      <w:r>
        <w:t>Demand Resource</w:t>
      </w:r>
      <w:r w:rsidRPr="00E92182">
        <w:t xml:space="preserve"> testing has been successfully deferred are unconverted</w:t>
      </w:r>
      <w:r>
        <w:t xml:space="preserve"> to ZRCs</w:t>
      </w:r>
      <w:r w:rsidRPr="00E92182">
        <w:t xml:space="preserve">, the Market Participant may provide notice to the Transmission Provider that it wishes to forfeit the deferred </w:t>
      </w:r>
      <w:r>
        <w:t>Demand Resource</w:t>
      </w:r>
      <w:r w:rsidRPr="00E92182">
        <w:t xml:space="preserve"> value, in which case the Transmission Provider will adjust the Market Participant’s D</w:t>
      </w:r>
      <w:r>
        <w:t xml:space="preserve">emand </w:t>
      </w:r>
      <w:r w:rsidRPr="00E92182">
        <w:t>R</w:t>
      </w:r>
      <w:r>
        <w:t>esource</w:t>
      </w:r>
      <w:r w:rsidRPr="00E92182">
        <w:t xml:space="preserve"> value and credit requirement within twenty (20) Business Days.</w:t>
      </w:r>
    </w:p>
    <w:p w14:paraId="4EDE8AD0" w14:textId="77777777" w:rsidR="006D300B" w:rsidRPr="006C0E34" w:rsidRDefault="006D300B" w:rsidP="006D300B">
      <w:r w:rsidRPr="00E92182">
        <w:t xml:space="preserve">A Market Participant that provides a </w:t>
      </w:r>
      <w:r>
        <w:t>Demand Resource</w:t>
      </w:r>
      <w:r w:rsidRPr="00E92182">
        <w:t xml:space="preserve"> Deferral Notice and that either (1) has not submitted any real power test result for such </w:t>
      </w:r>
      <w:r>
        <w:t>Demand Resource</w:t>
      </w:r>
      <w:r w:rsidRPr="00E92182">
        <w:t xml:space="preserve"> by the last business day of </w:t>
      </w:r>
      <w:r>
        <w:t xml:space="preserve">the month </w:t>
      </w:r>
      <w:r w:rsidRPr="00E92182">
        <w:t xml:space="preserve">prior to the </w:t>
      </w:r>
      <w:r>
        <w:t>Season the Demand Resource was used in a FRAP</w:t>
      </w:r>
      <w:r w:rsidRPr="00B50216">
        <w:t xml:space="preserve"> </w:t>
      </w:r>
      <w:r>
        <w:t xml:space="preserve">or RBDC </w:t>
      </w:r>
      <w:proofErr w:type="spellStart"/>
      <w:r>
        <w:t>Opt</w:t>
      </w:r>
      <w:proofErr w:type="spellEnd"/>
      <w:r>
        <w:t xml:space="preserve"> Out or cleared the auction within the </w:t>
      </w:r>
      <w:r w:rsidRPr="00E92182">
        <w:t xml:space="preserve">Planning Year, or (2) has submitted a real power test result by the last business day of </w:t>
      </w:r>
      <w:r>
        <w:t xml:space="preserve">the month </w:t>
      </w:r>
      <w:r w:rsidRPr="00E92182">
        <w:t xml:space="preserve">prior to the </w:t>
      </w:r>
      <w:r>
        <w:t>Season the Demand Resource was used in a FRAP</w:t>
      </w:r>
      <w:r w:rsidRPr="00B50216">
        <w:t xml:space="preserve"> </w:t>
      </w:r>
      <w:r>
        <w:t xml:space="preserve">or RBDC </w:t>
      </w:r>
      <w:proofErr w:type="spellStart"/>
      <w:r>
        <w:t>Opt</w:t>
      </w:r>
      <w:proofErr w:type="spellEnd"/>
      <w:r>
        <w:t xml:space="preserve"> Out or cleared the auction within the </w:t>
      </w:r>
      <w:r w:rsidRPr="00E92182">
        <w:t xml:space="preserve">Planning Year that demonstrates fewer megawatts are available than the expected </w:t>
      </w:r>
      <w:r>
        <w:t>Demand Resource</w:t>
      </w:r>
      <w:r w:rsidRPr="00E92182">
        <w:t xml:space="preserve"> test value submitted in the </w:t>
      </w:r>
      <w:r>
        <w:t>Demand Resource</w:t>
      </w:r>
      <w:r w:rsidRPr="00E92182">
        <w:t xml:space="preserve"> Deferral Notice, shall be subject to a penalty equal to three (3) times the Hourly Real-Time Ex Post LMP at the Load CPNode for any such deficiency and distributed pursuant to </w:t>
      </w:r>
      <w:r>
        <w:t>the Market Participants representing the LSEs in the Local Balancing Authority Area(s) that experienced the Emergency that required the use of an LMR. Such revenues shall be distributed on a Load Ratio Share basis.</w:t>
      </w:r>
      <w:r w:rsidRPr="00E92182">
        <w:t xml:space="preserve"> In addition, such Market Participant shall not have their credit released until a real power test result demonstrating the availability of all megawatts submitted in the </w:t>
      </w:r>
      <w:r>
        <w:t>Demand Resource</w:t>
      </w:r>
      <w:r w:rsidRPr="00E92182">
        <w:t xml:space="preserve"> Deferral Notice is submitted and verified by the Transmission Provider, or the end of the Planning Year, whichever is earlier</w:t>
      </w:r>
      <w:r>
        <w:t>.</w:t>
      </w:r>
    </w:p>
    <w:p w14:paraId="6403F8C2" w14:textId="09181CF1" w:rsidR="006D300B" w:rsidRDefault="006D300B" w:rsidP="006D300B"/>
    <w:p w14:paraId="51AE873A" w14:textId="53295873" w:rsidR="00CE30D0" w:rsidRDefault="00CE30D0" w:rsidP="006D300B"/>
    <w:sectPr w:rsidR="00CE30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5720" w14:textId="77777777" w:rsidR="002D69A3" w:rsidRDefault="002D69A3" w:rsidP="006D300B">
      <w:pPr>
        <w:spacing w:after="0" w:line="240" w:lineRule="auto"/>
      </w:pPr>
      <w:r>
        <w:separator/>
      </w:r>
    </w:p>
  </w:endnote>
  <w:endnote w:type="continuationSeparator" w:id="0">
    <w:p w14:paraId="19E8F01A" w14:textId="77777777" w:rsidR="002D69A3" w:rsidRDefault="002D69A3" w:rsidP="006D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A00000AF" w:usb1="50006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21F1" w14:textId="77777777" w:rsidR="002D69A3" w:rsidRDefault="002D69A3" w:rsidP="006D300B">
      <w:pPr>
        <w:spacing w:after="0" w:line="240" w:lineRule="auto"/>
      </w:pPr>
      <w:r>
        <w:separator/>
      </w:r>
    </w:p>
  </w:footnote>
  <w:footnote w:type="continuationSeparator" w:id="0">
    <w:p w14:paraId="3A607B6D" w14:textId="77777777" w:rsidR="002D69A3" w:rsidRDefault="002D69A3" w:rsidP="006D300B">
      <w:pPr>
        <w:spacing w:after="0" w:line="240" w:lineRule="auto"/>
      </w:pPr>
      <w:r>
        <w:continuationSeparator/>
      </w:r>
    </w:p>
  </w:footnote>
  <w:footnote w:id="1">
    <w:p w14:paraId="1E683FCB" w14:textId="77777777" w:rsidR="006D300B" w:rsidRDefault="006D300B" w:rsidP="006D300B">
      <w:pPr>
        <w:pStyle w:val="FootnoteText"/>
      </w:pPr>
      <w:r w:rsidRPr="006D300B">
        <w:rPr>
          <w:rStyle w:val="FootnoteReference"/>
          <w:color w:val="EE0000"/>
        </w:rPr>
        <w:footnoteRef/>
      </w:r>
      <w:r w:rsidRPr="006D300B">
        <w:rPr>
          <w:color w:val="EE0000"/>
        </w:rPr>
        <w:t xml:space="preserve"> A Demand Resource submitting a test after January 1 may use a test for the upcoming Planning Year and the following Planning Year, provided it occurs within a valid testing window for both Planning Years and meets all applicable testing criteria. That is, a test submitted at the time of registration for PY 26/27 showing a test time of January 13</w:t>
      </w:r>
      <w:r w:rsidRPr="006D300B">
        <w:rPr>
          <w:color w:val="EE0000"/>
          <w:vertAlign w:val="superscript"/>
        </w:rPr>
        <w:t>th</w:t>
      </w:r>
      <w:r w:rsidRPr="006D300B">
        <w:rPr>
          <w:color w:val="EE0000"/>
        </w:rPr>
        <w:t>, 2026 may be used to satisfy the testing requirements for PY 26/27 and PY 27/28.</w:t>
      </w:r>
    </w:p>
  </w:footnote>
  <w:footnote w:id="2">
    <w:p w14:paraId="20641F39" w14:textId="77777777" w:rsidR="006D300B" w:rsidRDefault="006D300B" w:rsidP="006D300B">
      <w:pPr>
        <w:pStyle w:val="FootnoteText"/>
      </w:pPr>
      <w:r>
        <w:rPr>
          <w:rStyle w:val="FootnoteReference"/>
        </w:rPr>
        <w:footnoteRef/>
      </w:r>
      <w:r>
        <w:t xml:space="preserve"> A test may begin from these Hours despite these Hours being excluded from the determination of the maximum Demand.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366"/>
    <w:multiLevelType w:val="hybridMultilevel"/>
    <w:tmpl w:val="CF105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55433"/>
    <w:multiLevelType w:val="hybridMultilevel"/>
    <w:tmpl w:val="EA068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3A41"/>
    <w:multiLevelType w:val="hybridMultilevel"/>
    <w:tmpl w:val="E1FE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B32AF"/>
    <w:multiLevelType w:val="hybridMultilevel"/>
    <w:tmpl w:val="3AD20910"/>
    <w:lvl w:ilvl="0" w:tplc="9E7C7D3C">
      <w:start w:val="1"/>
      <w:numFmt w:val="bullet"/>
      <w:lvlText w:val=""/>
      <w:lvlJc w:val="left"/>
      <w:pPr>
        <w:ind w:left="720" w:hanging="360"/>
      </w:pPr>
      <w:rPr>
        <w:rFonts w:ascii="Symbol" w:hAnsi="Symbol" w:hint="default"/>
      </w:rPr>
    </w:lvl>
    <w:lvl w:ilvl="1" w:tplc="D46CCACA" w:tentative="1">
      <w:start w:val="1"/>
      <w:numFmt w:val="bullet"/>
      <w:lvlText w:val="o"/>
      <w:lvlJc w:val="left"/>
      <w:pPr>
        <w:ind w:left="1440" w:hanging="360"/>
      </w:pPr>
      <w:rPr>
        <w:rFonts w:ascii="Courier New" w:hAnsi="Courier New" w:cs="Courier New" w:hint="default"/>
      </w:rPr>
    </w:lvl>
    <w:lvl w:ilvl="2" w:tplc="3F0E56CE" w:tentative="1">
      <w:start w:val="1"/>
      <w:numFmt w:val="bullet"/>
      <w:lvlText w:val=""/>
      <w:lvlJc w:val="left"/>
      <w:pPr>
        <w:ind w:left="2160" w:hanging="360"/>
      </w:pPr>
      <w:rPr>
        <w:rFonts w:ascii="Wingdings" w:hAnsi="Wingdings" w:hint="default"/>
      </w:rPr>
    </w:lvl>
    <w:lvl w:ilvl="3" w:tplc="A6102D42" w:tentative="1">
      <w:start w:val="1"/>
      <w:numFmt w:val="bullet"/>
      <w:lvlText w:val=""/>
      <w:lvlJc w:val="left"/>
      <w:pPr>
        <w:ind w:left="2880" w:hanging="360"/>
      </w:pPr>
      <w:rPr>
        <w:rFonts w:ascii="Symbol" w:hAnsi="Symbol" w:hint="default"/>
      </w:rPr>
    </w:lvl>
    <w:lvl w:ilvl="4" w:tplc="9A0670A2" w:tentative="1">
      <w:start w:val="1"/>
      <w:numFmt w:val="bullet"/>
      <w:lvlText w:val="o"/>
      <w:lvlJc w:val="left"/>
      <w:pPr>
        <w:ind w:left="3600" w:hanging="360"/>
      </w:pPr>
      <w:rPr>
        <w:rFonts w:ascii="Courier New" w:hAnsi="Courier New" w:cs="Courier New" w:hint="default"/>
      </w:rPr>
    </w:lvl>
    <w:lvl w:ilvl="5" w:tplc="7E8E717E" w:tentative="1">
      <w:start w:val="1"/>
      <w:numFmt w:val="bullet"/>
      <w:lvlText w:val=""/>
      <w:lvlJc w:val="left"/>
      <w:pPr>
        <w:ind w:left="4320" w:hanging="360"/>
      </w:pPr>
      <w:rPr>
        <w:rFonts w:ascii="Wingdings" w:hAnsi="Wingdings" w:hint="default"/>
      </w:rPr>
    </w:lvl>
    <w:lvl w:ilvl="6" w:tplc="764A9610" w:tentative="1">
      <w:start w:val="1"/>
      <w:numFmt w:val="bullet"/>
      <w:lvlText w:val=""/>
      <w:lvlJc w:val="left"/>
      <w:pPr>
        <w:ind w:left="5040" w:hanging="360"/>
      </w:pPr>
      <w:rPr>
        <w:rFonts w:ascii="Symbol" w:hAnsi="Symbol" w:hint="default"/>
      </w:rPr>
    </w:lvl>
    <w:lvl w:ilvl="7" w:tplc="5BA64D16" w:tentative="1">
      <w:start w:val="1"/>
      <w:numFmt w:val="bullet"/>
      <w:lvlText w:val="o"/>
      <w:lvlJc w:val="left"/>
      <w:pPr>
        <w:ind w:left="5760" w:hanging="360"/>
      </w:pPr>
      <w:rPr>
        <w:rFonts w:ascii="Courier New" w:hAnsi="Courier New" w:cs="Courier New" w:hint="default"/>
      </w:rPr>
    </w:lvl>
    <w:lvl w:ilvl="8" w:tplc="D6D06070" w:tentative="1">
      <w:start w:val="1"/>
      <w:numFmt w:val="bullet"/>
      <w:lvlText w:val=""/>
      <w:lvlJc w:val="left"/>
      <w:pPr>
        <w:ind w:left="6480" w:hanging="360"/>
      </w:pPr>
      <w:rPr>
        <w:rFonts w:ascii="Wingdings" w:hAnsi="Wingdings" w:hint="default"/>
      </w:rPr>
    </w:lvl>
  </w:abstractNum>
  <w:abstractNum w:abstractNumId="4" w15:restartNumberingAfterBreak="0">
    <w:nsid w:val="1250327C"/>
    <w:multiLevelType w:val="multilevel"/>
    <w:tmpl w:val="D83AA7C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color w:val="auto"/>
        <w:sz w:val="28"/>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i w:val="0"/>
        <w:color w:val="000000" w:themeColor="text1"/>
      </w:rPr>
    </w:lvl>
    <w:lvl w:ilvl="4">
      <w:start w:val="1"/>
      <w:numFmt w:val="decimal"/>
      <w:lvlText w:val="%1.%2.%3.%4.%5"/>
      <w:lvlJc w:val="left"/>
      <w:pPr>
        <w:ind w:left="1080" w:hanging="1080"/>
      </w:pPr>
      <w:rPr>
        <w:rFonts w:hint="default"/>
        <w:b/>
        <w:bCs w:val="0"/>
        <w:i w:val="0"/>
        <w:iCs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E967F6"/>
    <w:multiLevelType w:val="hybridMultilevel"/>
    <w:tmpl w:val="25823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BC1A95"/>
    <w:multiLevelType w:val="hybridMultilevel"/>
    <w:tmpl w:val="EBCA6A5E"/>
    <w:lvl w:ilvl="0" w:tplc="AA8EA4E8">
      <w:start w:val="1"/>
      <w:numFmt w:val="decimal"/>
      <w:lvlText w:val="%1."/>
      <w:lvlJc w:val="left"/>
      <w:pPr>
        <w:ind w:left="420" w:hanging="360"/>
      </w:pPr>
      <w:rPr>
        <w:rFonts w:ascii="Arial" w:eastAsiaTheme="minorHAnsi" w:hAnsi="Arial" w:cs="Arial"/>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1AB1EB0"/>
    <w:multiLevelType w:val="hybridMultilevel"/>
    <w:tmpl w:val="F3C20130"/>
    <w:lvl w:ilvl="0" w:tplc="AA8EA4E8">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72AB5"/>
    <w:multiLevelType w:val="hybridMultilevel"/>
    <w:tmpl w:val="E118D6F4"/>
    <w:lvl w:ilvl="0" w:tplc="AA8EA4E8">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start w:val="1"/>
      <w:numFmt w:val="lowerRoman"/>
      <w:lvlText w:val="%3."/>
      <w:lvlJc w:val="right"/>
      <w:pPr>
        <w:ind w:left="1710" w:hanging="180"/>
      </w:pPr>
    </w:lvl>
    <w:lvl w:ilvl="3" w:tplc="258CBD1A">
      <w:start w:val="1"/>
      <w:numFmt w:val="decimal"/>
      <w:lvlText w:val="%4."/>
      <w:lvlJc w:val="left"/>
      <w:pPr>
        <w:ind w:left="360" w:hanging="360"/>
      </w:pPr>
      <w:rPr>
        <w:rFonts w:ascii="Arial" w:eastAsiaTheme="majorEastAsia" w:hAnsi="Arial" w:cs="Times New Roman"/>
      </w:rPr>
    </w:lvl>
    <w:lvl w:ilvl="4" w:tplc="04090019">
      <w:start w:val="1"/>
      <w:numFmt w:val="lowerLetter"/>
      <w:lvlText w:val="%5."/>
      <w:lvlJc w:val="left"/>
      <w:pPr>
        <w:ind w:left="1350" w:hanging="360"/>
      </w:pPr>
    </w:lvl>
    <w:lvl w:ilvl="5" w:tplc="0409001B">
      <w:start w:val="1"/>
      <w:numFmt w:val="lowerRoman"/>
      <w:lvlText w:val="%6."/>
      <w:lvlJc w:val="right"/>
      <w:pPr>
        <w:ind w:left="2160" w:hanging="180"/>
      </w:pPr>
    </w:lvl>
    <w:lvl w:ilvl="6" w:tplc="0409000F">
      <w:start w:val="1"/>
      <w:numFmt w:val="decimal"/>
      <w:lvlText w:val="%7."/>
      <w:lvlJc w:val="left"/>
      <w:pPr>
        <w:ind w:left="4680" w:hanging="360"/>
      </w:pPr>
    </w:lvl>
    <w:lvl w:ilvl="7" w:tplc="490A7AA2">
      <w:start w:val="1"/>
      <w:numFmt w:val="upperRoman"/>
      <w:lvlText w:val="%8."/>
      <w:lvlJc w:val="left"/>
      <w:pPr>
        <w:ind w:left="5760" w:hanging="720"/>
      </w:pPr>
      <w:rPr>
        <w:rFonts w:hint="default"/>
      </w:rPr>
    </w:lvl>
    <w:lvl w:ilvl="8" w:tplc="E6C8270A">
      <w:start w:val="5"/>
      <w:numFmt w:val="upperLetter"/>
      <w:lvlText w:val="%9."/>
      <w:lvlJc w:val="left"/>
      <w:pPr>
        <w:ind w:left="6300" w:hanging="360"/>
      </w:pPr>
      <w:rPr>
        <w:rFonts w:hint="default"/>
      </w:rPr>
    </w:lvl>
  </w:abstractNum>
  <w:abstractNum w:abstractNumId="9" w15:restartNumberingAfterBreak="0">
    <w:nsid w:val="4AD6264D"/>
    <w:multiLevelType w:val="hybridMultilevel"/>
    <w:tmpl w:val="FEC2E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906CD"/>
    <w:multiLevelType w:val="hybridMultilevel"/>
    <w:tmpl w:val="4858D954"/>
    <w:lvl w:ilvl="0" w:tplc="AA8EA4E8">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80EB9"/>
    <w:multiLevelType w:val="hybridMultilevel"/>
    <w:tmpl w:val="2294D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10032"/>
    <w:multiLevelType w:val="hybridMultilevel"/>
    <w:tmpl w:val="95C4005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2620983">
    <w:abstractNumId w:val="4"/>
  </w:num>
  <w:num w:numId="2" w16cid:durableId="1046028991">
    <w:abstractNumId w:val="3"/>
  </w:num>
  <w:num w:numId="3" w16cid:durableId="1597977195">
    <w:abstractNumId w:val="0"/>
  </w:num>
  <w:num w:numId="4" w16cid:durableId="1854569927">
    <w:abstractNumId w:val="11"/>
  </w:num>
  <w:num w:numId="5" w16cid:durableId="1956208337">
    <w:abstractNumId w:val="9"/>
  </w:num>
  <w:num w:numId="6" w16cid:durableId="644775020">
    <w:abstractNumId w:val="1"/>
  </w:num>
  <w:num w:numId="7" w16cid:durableId="995449843">
    <w:abstractNumId w:val="7"/>
  </w:num>
  <w:num w:numId="8" w16cid:durableId="1833177688">
    <w:abstractNumId w:val="2"/>
  </w:num>
  <w:num w:numId="9" w16cid:durableId="883104954">
    <w:abstractNumId w:val="12"/>
  </w:num>
  <w:num w:numId="10" w16cid:durableId="190263239">
    <w:abstractNumId w:val="6"/>
  </w:num>
  <w:num w:numId="11" w16cid:durableId="63602434">
    <w:abstractNumId w:val="8"/>
  </w:num>
  <w:num w:numId="12" w16cid:durableId="577785853">
    <w:abstractNumId w:val="10"/>
  </w:num>
  <w:num w:numId="13" w16cid:durableId="442187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0B"/>
    <w:rsid w:val="001B228D"/>
    <w:rsid w:val="00294956"/>
    <w:rsid w:val="002D69A3"/>
    <w:rsid w:val="003A0A42"/>
    <w:rsid w:val="004053B9"/>
    <w:rsid w:val="0063004F"/>
    <w:rsid w:val="006D300B"/>
    <w:rsid w:val="00913065"/>
    <w:rsid w:val="00A82502"/>
    <w:rsid w:val="00B87F4B"/>
    <w:rsid w:val="00C84E75"/>
    <w:rsid w:val="00CE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CA0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0B"/>
    <w:pPr>
      <w:spacing w:after="200" w:line="276"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6D3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3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3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3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D3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D3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D3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D3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6D3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3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D3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D3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00B"/>
    <w:rPr>
      <w:rFonts w:eastAsiaTheme="majorEastAsia" w:cstheme="majorBidi"/>
      <w:color w:val="272727" w:themeColor="text1" w:themeTint="D8"/>
    </w:rPr>
  </w:style>
  <w:style w:type="paragraph" w:styleId="Title">
    <w:name w:val="Title"/>
    <w:basedOn w:val="Normal"/>
    <w:next w:val="Normal"/>
    <w:link w:val="TitleChar"/>
    <w:uiPriority w:val="10"/>
    <w:qFormat/>
    <w:rsid w:val="006D3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00B"/>
    <w:pPr>
      <w:spacing w:before="160"/>
      <w:jc w:val="center"/>
    </w:pPr>
    <w:rPr>
      <w:i/>
      <w:iCs/>
      <w:color w:val="404040" w:themeColor="text1" w:themeTint="BF"/>
    </w:rPr>
  </w:style>
  <w:style w:type="character" w:customStyle="1" w:styleId="QuoteChar">
    <w:name w:val="Quote Char"/>
    <w:basedOn w:val="DefaultParagraphFont"/>
    <w:link w:val="Quote"/>
    <w:uiPriority w:val="29"/>
    <w:rsid w:val="006D300B"/>
    <w:rPr>
      <w:i/>
      <w:iCs/>
      <w:color w:val="404040" w:themeColor="text1" w:themeTint="BF"/>
    </w:rPr>
  </w:style>
  <w:style w:type="paragraph" w:styleId="ListParagraph">
    <w:name w:val="List Paragraph"/>
    <w:basedOn w:val="Normal"/>
    <w:uiPriority w:val="34"/>
    <w:qFormat/>
    <w:rsid w:val="006D300B"/>
    <w:pPr>
      <w:ind w:left="720"/>
      <w:contextualSpacing/>
    </w:pPr>
  </w:style>
  <w:style w:type="character" w:styleId="IntenseEmphasis">
    <w:name w:val="Intense Emphasis"/>
    <w:basedOn w:val="DefaultParagraphFont"/>
    <w:uiPriority w:val="21"/>
    <w:qFormat/>
    <w:rsid w:val="006D300B"/>
    <w:rPr>
      <w:i/>
      <w:iCs/>
      <w:color w:val="0F4761" w:themeColor="accent1" w:themeShade="BF"/>
    </w:rPr>
  </w:style>
  <w:style w:type="paragraph" w:styleId="IntenseQuote">
    <w:name w:val="Intense Quote"/>
    <w:basedOn w:val="Normal"/>
    <w:next w:val="Normal"/>
    <w:link w:val="IntenseQuoteChar"/>
    <w:uiPriority w:val="30"/>
    <w:qFormat/>
    <w:rsid w:val="006D3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00B"/>
    <w:rPr>
      <w:i/>
      <w:iCs/>
      <w:color w:val="0F4761" w:themeColor="accent1" w:themeShade="BF"/>
    </w:rPr>
  </w:style>
  <w:style w:type="character" w:styleId="IntenseReference">
    <w:name w:val="Intense Reference"/>
    <w:basedOn w:val="DefaultParagraphFont"/>
    <w:uiPriority w:val="32"/>
    <w:qFormat/>
    <w:rsid w:val="006D300B"/>
    <w:rPr>
      <w:b/>
      <w:bCs/>
      <w:smallCaps/>
      <w:color w:val="0F4761" w:themeColor="accent1" w:themeShade="BF"/>
      <w:spacing w:val="5"/>
    </w:rPr>
  </w:style>
  <w:style w:type="character" w:styleId="Hyperlink">
    <w:name w:val="Hyperlink"/>
    <w:basedOn w:val="DefaultParagraphFont"/>
    <w:uiPriority w:val="99"/>
    <w:unhideWhenUsed/>
    <w:rsid w:val="006D300B"/>
    <w:rPr>
      <w:color w:val="467886" w:themeColor="hyperlink"/>
      <w:u w:val="single"/>
    </w:rPr>
  </w:style>
  <w:style w:type="paragraph" w:styleId="Caption">
    <w:name w:val="caption"/>
    <w:basedOn w:val="Normal"/>
    <w:next w:val="Normal"/>
    <w:autoRedefine/>
    <w:uiPriority w:val="35"/>
    <w:qFormat/>
    <w:rsid w:val="006D300B"/>
    <w:pPr>
      <w:spacing w:after="0" w:line="240" w:lineRule="auto"/>
    </w:pPr>
    <w:rPr>
      <w:bCs/>
      <w:sz w:val="16"/>
      <w:szCs w:val="16"/>
    </w:rPr>
  </w:style>
  <w:style w:type="character" w:styleId="FootnoteReference">
    <w:name w:val="footnote reference"/>
    <w:aliases w:val="(NECG) Footnote Reference,Style 12,Style 13,Style 15,Style 17,Style 18,Style 20,Style 7,Style 9,fr,fr1,fr2,fr3,o,o1,o2,o3"/>
    <w:basedOn w:val="DefaultParagraphFont"/>
    <w:uiPriority w:val="99"/>
    <w:semiHidden/>
    <w:rsid w:val="006D300B"/>
    <w:rPr>
      <w:rFonts w:cs="Times New Roman"/>
      <w:vertAlign w:val="superscript"/>
    </w:rPr>
  </w:style>
  <w:style w:type="paragraph" w:styleId="FootnoteText">
    <w:name w:val="footnote text"/>
    <w:aliases w:val="Footnote Text Char Char,Footnote Text Char Char Char,Footnote Text Char Char1,Footnote Text Char Char1 Char,Footnote Text Char1,Footnote Text Char1 Char,Footnote Text Char1 Char Char Char,Footnote Text Char2 Char,f,fn,fn Char Char,ft"/>
    <w:basedOn w:val="Normal"/>
    <w:link w:val="FootnoteTextChar"/>
    <w:uiPriority w:val="99"/>
    <w:rsid w:val="006D300B"/>
    <w:pPr>
      <w:keepLines/>
      <w:autoSpaceDE w:val="0"/>
      <w:autoSpaceDN w:val="0"/>
      <w:spacing w:after="0" w:line="200" w:lineRule="atLeast"/>
      <w:ind w:left="144" w:hanging="144"/>
    </w:pPr>
    <w:rPr>
      <w:spacing w:val="-5"/>
      <w:sz w:val="16"/>
      <w:szCs w:val="16"/>
    </w:rPr>
  </w:style>
  <w:style w:type="character" w:customStyle="1" w:styleId="FootnoteTextChar">
    <w:name w:val="Footnote Text Char"/>
    <w:aliases w:val="Footnote Text Char Char Char1,Footnote Text Char Char Char Char,Footnote Text Char Char1 Char1,Footnote Text Char Char1 Char Char,Footnote Text Char1 Char1,Footnote Text Char1 Char Char,Footnote Text Char1 Char Char Char Char,f Char"/>
    <w:basedOn w:val="DefaultParagraphFont"/>
    <w:link w:val="FootnoteText"/>
    <w:uiPriority w:val="99"/>
    <w:rsid w:val="006D300B"/>
    <w:rPr>
      <w:rFonts w:ascii="Arial" w:eastAsia="Times New Roman" w:hAnsi="Arial" w:cs="Times New Roman"/>
      <w:spacing w:val="-5"/>
      <w:kern w:val="0"/>
      <w:sz w:val="16"/>
      <w:szCs w:val="16"/>
      <w14:ligatures w14:val="none"/>
    </w:rPr>
  </w:style>
  <w:style w:type="paragraph" w:styleId="Header">
    <w:name w:val="header"/>
    <w:basedOn w:val="Normal"/>
    <w:link w:val="HeaderChar"/>
    <w:uiPriority w:val="99"/>
    <w:unhideWhenUsed/>
    <w:rsid w:val="00630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04F"/>
    <w:rPr>
      <w:rFonts w:ascii="Arial" w:eastAsia="Times New Roman" w:hAnsi="Arial" w:cs="Times New Roman"/>
      <w:kern w:val="0"/>
      <w:sz w:val="22"/>
      <w:szCs w:val="20"/>
      <w14:ligatures w14:val="none"/>
    </w:rPr>
  </w:style>
  <w:style w:type="paragraph" w:styleId="Footer">
    <w:name w:val="footer"/>
    <w:basedOn w:val="Normal"/>
    <w:link w:val="FooterChar"/>
    <w:uiPriority w:val="99"/>
    <w:unhideWhenUsed/>
    <w:rsid w:val="00630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04F"/>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help.misoener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5566</Words>
  <Characters>31732</Characters>
  <Application>Microsoft Office Word</Application>
  <DocSecurity>0</DocSecurity>
  <Lines>264</Lines>
  <Paragraphs>74</Paragraphs>
  <ScaleCrop>false</ScaleCrop>
  <Company/>
  <LinksUpToDate>false</LinksUpToDate>
  <CharactersWithSpaces>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2025-11-18T20:48:00Z</dcterms:created>
  <dcterms:modified xsi:type="dcterms:W3CDTF">2025-11-18T20:48:00Z</dcterms:modified>
</cp:coreProperties>
</file>